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371" w:rsidRPr="00827666" w:rsidRDefault="008C5371" w:rsidP="00233462">
      <w:bookmarkStart w:id="0" w:name="_GoBack"/>
      <w:bookmarkEnd w:id="0"/>
      <w:r w:rsidRPr="00827666">
        <w:t xml:space="preserve">Serial </w:t>
      </w:r>
      <w:r w:rsidR="00701CD7" w:rsidRPr="00827666">
        <w:t>43</w:t>
      </w:r>
    </w:p>
    <w:p w:rsidR="008C5371" w:rsidRPr="00827666" w:rsidRDefault="00CB3A0D" w:rsidP="00233462">
      <w:r w:rsidRPr="00827666">
        <w:t>Residential Tenancies</w:t>
      </w:r>
      <w:r w:rsidR="00235949" w:rsidRPr="00827666">
        <w:t xml:space="preserve"> Amendment</w:t>
      </w:r>
      <w:r w:rsidR="004B0DAE" w:rsidRPr="00827666">
        <w:t xml:space="preserve"> </w:t>
      </w:r>
      <w:r w:rsidR="008F497C" w:rsidRPr="00827666">
        <w:t>Bill 20</w:t>
      </w:r>
      <w:r w:rsidR="00FB1AA2" w:rsidRPr="00827666">
        <w:t>1</w:t>
      </w:r>
      <w:r w:rsidRPr="00827666">
        <w:t>8</w:t>
      </w:r>
    </w:p>
    <w:p w:rsidR="008C5371" w:rsidRPr="00827666" w:rsidRDefault="00CB3A0D" w:rsidP="00233462">
      <w:r w:rsidRPr="00827666">
        <w:t xml:space="preserve">Ms </w:t>
      </w:r>
      <w:proofErr w:type="spellStart"/>
      <w:r w:rsidRPr="00827666">
        <w:t>Fyles</w:t>
      </w:r>
      <w:proofErr w:type="spellEnd"/>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C6376A">
      <w:pPr>
        <w:jc w:val="center"/>
      </w:pPr>
      <w:r w:rsidRPr="00827666">
        <w:t xml:space="preserve">A Bill for an Act </w:t>
      </w:r>
      <w:r w:rsidR="008C5371" w:rsidRPr="00827666">
        <w:t>to amend the</w:t>
      </w:r>
      <w:r w:rsidR="00A24DEA" w:rsidRPr="00827666">
        <w:t xml:space="preserve"> </w:t>
      </w:r>
      <w:r w:rsidR="00CB3A0D" w:rsidRPr="00827666">
        <w:rPr>
          <w:i/>
        </w:rPr>
        <w:t>Residential Tenancies</w:t>
      </w:r>
      <w:r w:rsidR="00A24DEA" w:rsidRPr="00827666">
        <w:rPr>
          <w:i/>
        </w:rPr>
        <w:t xml:space="preserve"> Act</w:t>
      </w:r>
      <w:r w:rsidR="00CB3A0D" w:rsidRPr="00827666">
        <w:t>, and for related purposes</w:t>
      </w:r>
    </w:p>
    <w:p w:rsidR="008C5371" w:rsidRPr="00827666" w:rsidRDefault="008C5371">
      <w:pPr>
        <w:tabs>
          <w:tab w:val="left" w:pos="2127"/>
        </w:tabs>
      </w:pPr>
    </w:p>
    <w:p w:rsidR="008C5371" w:rsidRPr="00827666" w:rsidRDefault="008C5371">
      <w:pPr>
        <w:tabs>
          <w:tab w:val="left" w:pos="2127"/>
        </w:tabs>
      </w:pPr>
    </w:p>
    <w:p w:rsidR="00C6376A" w:rsidRPr="00827666" w:rsidRDefault="00C6376A">
      <w:pPr>
        <w:tabs>
          <w:tab w:val="left" w:pos="2127"/>
        </w:tabs>
      </w:pPr>
    </w:p>
    <w:p w:rsidR="00C6376A" w:rsidRPr="00827666" w:rsidRDefault="00C6376A">
      <w:pPr>
        <w:tabs>
          <w:tab w:val="left" w:pos="2127"/>
        </w:tabs>
      </w:pPr>
    </w:p>
    <w:p w:rsidR="00C6376A" w:rsidRPr="00827666" w:rsidRDefault="00C6376A">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703552" w:rsidRPr="00827666" w:rsidRDefault="00703552" w:rsidP="00703552">
      <w:pPr>
        <w:tabs>
          <w:tab w:val="left" w:pos="2127"/>
        </w:tabs>
      </w:pPr>
    </w:p>
    <w:p w:rsidR="00703552" w:rsidRPr="00827666" w:rsidRDefault="00703552" w:rsidP="00703552">
      <w:pPr>
        <w:tabs>
          <w:tab w:val="left" w:pos="2127"/>
        </w:tabs>
        <w:jc w:val="center"/>
        <w:sectPr w:rsidR="00703552" w:rsidRPr="00827666" w:rsidSect="00827666">
          <w:footerReference w:type="even" r:id="rId8"/>
          <w:footerReference w:type="default" r:id="rId9"/>
          <w:footerReference w:type="first" r:id="rId10"/>
          <w:pgSz w:w="11906" w:h="16838"/>
          <w:pgMar w:top="1440" w:right="1800" w:bottom="1440" w:left="1800" w:header="720" w:footer="720" w:gutter="0"/>
          <w:pgNumType w:fmt="lowerRoman" w:start="1"/>
          <w:cols w:space="720"/>
          <w:titlePg/>
          <w:docGrid w:linePitch="326"/>
        </w:sectPr>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pPr>
    </w:p>
    <w:p w:rsidR="008C5371" w:rsidRPr="00827666" w:rsidRDefault="008C5371">
      <w:pPr>
        <w:tabs>
          <w:tab w:val="left" w:pos="2127"/>
        </w:tabs>
        <w:jc w:val="center"/>
        <w:sectPr w:rsidR="008C5371" w:rsidRPr="00827666" w:rsidSect="00827666">
          <w:footerReference w:type="even" r:id="rId11"/>
          <w:footerReference w:type="default" r:id="rId12"/>
          <w:footerReference w:type="first" r:id="rId13"/>
          <w:pgSz w:w="11906" w:h="16838"/>
          <w:pgMar w:top="1440" w:right="1800" w:bottom="1440" w:left="1800" w:header="720" w:footer="720" w:gutter="0"/>
          <w:pgNumType w:fmt="lowerRoman" w:start="1"/>
          <w:cols w:space="720"/>
          <w:titlePg/>
          <w:docGrid w:linePitch="326"/>
        </w:sectPr>
      </w:pPr>
    </w:p>
    <w:p w:rsidR="008C5371" w:rsidRPr="00827666" w:rsidRDefault="00FB1AA2">
      <w:pPr>
        <w:tabs>
          <w:tab w:val="left" w:pos="2127"/>
        </w:tabs>
        <w:spacing w:after="240"/>
        <w:jc w:val="center"/>
        <w:rPr>
          <w:b/>
        </w:rPr>
      </w:pPr>
      <w:r w:rsidRPr="00827666">
        <w:rPr>
          <w:b/>
        </w:rPr>
        <w:lastRenderedPageBreak/>
        <w:t>NORTHERN TERRITORY OF AUSTRALIA</w:t>
      </w:r>
    </w:p>
    <w:p w:rsidR="008C5371" w:rsidRPr="00827666" w:rsidRDefault="00C93EB1">
      <w:pPr>
        <w:pStyle w:val="ShortTitle"/>
      </w:pPr>
      <w:r w:rsidRPr="00827666">
        <w:t>Residential Tenancies</w:t>
      </w:r>
      <w:r w:rsidR="00AC1021" w:rsidRPr="00827666">
        <w:t xml:space="preserve"> </w:t>
      </w:r>
      <w:r w:rsidR="00FB1AA2" w:rsidRPr="00827666">
        <w:t>AMENDMENT</w:t>
      </w:r>
      <w:r w:rsidR="00E04E17" w:rsidRPr="00827666">
        <w:t xml:space="preserve"> </w:t>
      </w:r>
      <w:r w:rsidR="00FB1AA2" w:rsidRPr="00827666">
        <w:t>ACT</w:t>
      </w:r>
      <w:r w:rsidR="008F497C" w:rsidRPr="00827666">
        <w:t xml:space="preserve"> 20</w:t>
      </w:r>
      <w:r w:rsidRPr="00827666">
        <w:t>18</w:t>
      </w:r>
    </w:p>
    <w:p w:rsidR="008C5371" w:rsidRPr="00827666" w:rsidRDefault="008C5371">
      <w:pPr>
        <w:spacing w:after="120"/>
        <w:jc w:val="center"/>
      </w:pPr>
      <w:r w:rsidRPr="00827666">
        <w:t>____________________</w:t>
      </w:r>
    </w:p>
    <w:p w:rsidR="008C5371" w:rsidRPr="00827666" w:rsidRDefault="00235949">
      <w:pPr>
        <w:pStyle w:val="ActNo"/>
      </w:pPr>
      <w:r w:rsidRPr="00827666">
        <w:t>Act No.</w:t>
      </w:r>
      <w:r w:rsidR="00E04E17" w:rsidRPr="00827666">
        <w:t xml:space="preserve"> [   ] </w:t>
      </w:r>
      <w:r w:rsidR="008F497C" w:rsidRPr="00827666">
        <w:t>of 20</w:t>
      </w:r>
      <w:r w:rsidR="0034797D" w:rsidRPr="00827666">
        <w:t>1</w:t>
      </w:r>
      <w:r w:rsidR="00460967" w:rsidRPr="00827666">
        <w:t>8</w:t>
      </w:r>
    </w:p>
    <w:p w:rsidR="008C5371" w:rsidRPr="00827666" w:rsidRDefault="008C5371">
      <w:pPr>
        <w:spacing w:after="120"/>
        <w:jc w:val="center"/>
      </w:pPr>
      <w:r w:rsidRPr="00827666">
        <w:t>____________________</w:t>
      </w:r>
    </w:p>
    <w:p w:rsidR="008C5371" w:rsidRPr="00827666" w:rsidRDefault="008C5371">
      <w:pPr>
        <w:tabs>
          <w:tab w:val="left" w:pos="2127"/>
        </w:tabs>
        <w:spacing w:after="120"/>
        <w:jc w:val="center"/>
      </w:pPr>
    </w:p>
    <w:p w:rsidR="008C5371" w:rsidRPr="00827666" w:rsidRDefault="00641C90">
      <w:pPr>
        <w:pStyle w:val="TOPHeading"/>
      </w:pPr>
      <w:r w:rsidRPr="00827666">
        <w:t>Table of provisions</w:t>
      </w:r>
    </w:p>
    <w:p w:rsidR="008C5371" w:rsidRPr="00827666" w:rsidRDefault="00827666">
      <w:pPr>
        <w:pStyle w:val="BlankHeader"/>
      </w:pPr>
      <w:r w:rsidRPr="00827666">
        <w:rPr>
          <w:rStyle w:val="charChapterText"/>
        </w:rPr>
        <w:t xml:space="preserve"> </w:t>
      </w:r>
      <w:r w:rsidRPr="00827666">
        <w:rPr>
          <w:rStyle w:val="charPartText"/>
        </w:rPr>
        <w:t xml:space="preserve"> </w:t>
      </w:r>
      <w:r w:rsidRPr="00827666">
        <w:rPr>
          <w:rStyle w:val="charDivisionText"/>
        </w:rPr>
        <w:t xml:space="preserve"> </w:t>
      </w:r>
      <w:r w:rsidRPr="00827666">
        <w:rPr>
          <w:rStyle w:val="charSubdivisionText"/>
        </w:rPr>
        <w:t xml:space="preserve"> </w:t>
      </w:r>
    </w:p>
    <w:p w:rsidR="00B23828" w:rsidRDefault="00B23828" w:rsidP="00B23828">
      <w:pPr>
        <w:pStyle w:val="TOC2"/>
        <w:rPr>
          <w:rFonts w:asciiTheme="minorHAnsi" w:eastAsiaTheme="minorEastAsia" w:hAnsiTheme="minorHAnsi" w:cstheme="minorBidi"/>
          <w:b w:val="0"/>
          <w:sz w:val="22"/>
          <w:szCs w:val="22"/>
        </w:rPr>
      </w:pPr>
      <w:r>
        <w:fldChar w:fldCharType="begin"/>
      </w:r>
      <w:r>
        <w:instrText xml:space="preserve"> TOC \o "1-9" </w:instrText>
      </w:r>
      <w:r>
        <w:fldChar w:fldCharType="separate"/>
      </w:r>
      <w:r>
        <w:t>Part 1</w:t>
      </w:r>
      <w:r>
        <w:rPr>
          <w:rFonts w:asciiTheme="minorHAnsi" w:eastAsiaTheme="minorEastAsia" w:hAnsiTheme="minorHAnsi" w:cstheme="minorBidi"/>
          <w:b w:val="0"/>
          <w:sz w:val="22"/>
          <w:szCs w:val="22"/>
        </w:rPr>
        <w:tab/>
      </w:r>
      <w:r>
        <w:t>Preliminary matters</w:t>
      </w:r>
    </w:p>
    <w:p w:rsidR="00B23828" w:rsidRDefault="00B23828" w:rsidP="00B23828">
      <w:pPr>
        <w:pStyle w:val="TOC5"/>
        <w:tabs>
          <w:tab w:val="right" w:leader="dot" w:pos="8313"/>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Short title</w:t>
      </w:r>
      <w:r w:rsidRPr="00B23828">
        <w:tab/>
      </w:r>
      <w:r w:rsidRPr="00B23828">
        <w:fldChar w:fldCharType="begin"/>
      </w:r>
      <w:r w:rsidRPr="00B23828">
        <w:instrText xml:space="preserve"> PAGEREF _Toc505240086 \h </w:instrText>
      </w:r>
      <w:r w:rsidRPr="00B23828">
        <w:fldChar w:fldCharType="separate"/>
      </w:r>
      <w:r w:rsidRPr="00B23828">
        <w:t>1</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Commencement</w:t>
      </w:r>
      <w:r w:rsidRPr="00B23828">
        <w:tab/>
      </w:r>
      <w:r w:rsidRPr="00B23828">
        <w:fldChar w:fldCharType="begin"/>
      </w:r>
      <w:r w:rsidRPr="00B23828">
        <w:instrText xml:space="preserve"> PAGEREF _Toc505240087 \h </w:instrText>
      </w:r>
      <w:r w:rsidRPr="00B23828">
        <w:fldChar w:fldCharType="separate"/>
      </w:r>
      <w:r w:rsidRPr="00B23828">
        <w:t>1</w:t>
      </w:r>
      <w:r w:rsidRPr="00B23828">
        <w:fldChar w:fldCharType="end"/>
      </w:r>
    </w:p>
    <w:p w:rsidR="00B23828" w:rsidRDefault="00B23828" w:rsidP="00B23828">
      <w:pPr>
        <w:pStyle w:val="TOC2"/>
        <w:rPr>
          <w:rFonts w:asciiTheme="minorHAnsi" w:eastAsiaTheme="minorEastAsia" w:hAnsiTheme="minorHAnsi" w:cstheme="minorBidi"/>
          <w:b w:val="0"/>
          <w:sz w:val="22"/>
          <w:szCs w:val="22"/>
        </w:rPr>
      </w:pPr>
      <w:r>
        <w:t>Part 2</w:t>
      </w:r>
      <w:r>
        <w:rPr>
          <w:rFonts w:asciiTheme="minorHAnsi" w:eastAsiaTheme="minorEastAsia" w:hAnsiTheme="minorHAnsi" w:cstheme="minorBidi"/>
          <w:b w:val="0"/>
          <w:sz w:val="22"/>
          <w:szCs w:val="22"/>
        </w:rPr>
        <w:tab/>
      </w:r>
      <w:r>
        <w:t>Amendment of Residential Tenancies Act</w:t>
      </w:r>
    </w:p>
    <w:p w:rsidR="00B23828" w:rsidRDefault="00B23828" w:rsidP="00B23828">
      <w:pPr>
        <w:pStyle w:val="TOC5"/>
        <w:tabs>
          <w:tab w:val="right" w:leader="dot" w:pos="8313"/>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Act amended</w:t>
      </w:r>
      <w:r w:rsidRPr="00B23828">
        <w:tab/>
      </w:r>
      <w:r w:rsidRPr="00B23828">
        <w:fldChar w:fldCharType="begin"/>
      </w:r>
      <w:r w:rsidRPr="00B23828">
        <w:instrText xml:space="preserve"> PAGEREF _Toc505240089 \h </w:instrText>
      </w:r>
      <w:r w:rsidRPr="00B23828">
        <w:fldChar w:fldCharType="separate"/>
      </w:r>
      <w:r w:rsidRPr="00B23828">
        <w:t>1</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Section 4 amended (Definitions)</w:t>
      </w:r>
      <w:r w:rsidRPr="00B23828">
        <w:tab/>
      </w:r>
      <w:r w:rsidRPr="00B23828">
        <w:fldChar w:fldCharType="begin"/>
      </w:r>
      <w:r w:rsidRPr="00B23828">
        <w:instrText xml:space="preserve"> PAGEREF _Toc505240090 \h </w:instrText>
      </w:r>
      <w:r w:rsidRPr="00B23828">
        <w:fldChar w:fldCharType="separate"/>
      </w:r>
      <w:r w:rsidRPr="00B23828">
        <w:t>1</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Section 18 amended (Commissioner is enforcement agency for purposes of TINES)</w:t>
      </w:r>
      <w:r w:rsidRPr="00B23828">
        <w:tab/>
      </w:r>
      <w:r w:rsidRPr="00B23828">
        <w:fldChar w:fldCharType="begin"/>
      </w:r>
      <w:r w:rsidRPr="00B23828">
        <w:instrText xml:space="preserve"> PAGEREF _Toc505240091 \h </w:instrText>
      </w:r>
      <w:r w:rsidRPr="00B23828">
        <w:fldChar w:fldCharType="separate"/>
      </w:r>
      <w:r w:rsidRPr="00B23828">
        <w:t>2</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 42 amended (Tribunal may declare rent excessive)</w:t>
      </w:r>
      <w:r w:rsidRPr="00B23828">
        <w:tab/>
      </w:r>
      <w:r w:rsidRPr="00B23828">
        <w:fldChar w:fldCharType="begin"/>
      </w:r>
      <w:r w:rsidRPr="00B23828">
        <w:instrText xml:space="preserve"> PAGEREF _Toc505240092 \h </w:instrText>
      </w:r>
      <w:r w:rsidRPr="00B23828">
        <w:fldChar w:fldCharType="separate"/>
      </w:r>
      <w:r w:rsidRPr="00B23828">
        <w:t>2</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Section 110 amended (Condition report at end of tenancy)</w:t>
      </w:r>
      <w:r w:rsidRPr="00B23828">
        <w:tab/>
      </w:r>
      <w:r w:rsidRPr="00B23828">
        <w:fldChar w:fldCharType="begin"/>
      </w:r>
      <w:r w:rsidRPr="00B23828">
        <w:instrText xml:space="preserve"> PAGEREF _Toc505240093 \h </w:instrText>
      </w:r>
      <w:r w:rsidRPr="00B23828">
        <w:fldChar w:fldCharType="separate"/>
      </w:r>
      <w:r w:rsidRPr="00B23828">
        <w:t>2</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Part 14 inserted</w:t>
      </w:r>
      <w:r w:rsidRPr="00B23828">
        <w:tab/>
      </w:r>
      <w:r w:rsidRPr="00B23828">
        <w:fldChar w:fldCharType="begin"/>
      </w:r>
      <w:r w:rsidRPr="00B23828">
        <w:instrText xml:space="preserve"> PAGEREF _Toc505240094 \h </w:instrText>
      </w:r>
      <w:r w:rsidRPr="00B23828">
        <w:fldChar w:fldCharType="separate"/>
      </w:r>
      <w:r w:rsidRPr="00B23828">
        <w:t>3</w:t>
      </w:r>
      <w:r w:rsidRPr="00B23828">
        <w:fldChar w:fldCharType="end"/>
      </w:r>
    </w:p>
    <w:p w:rsidR="00B23828" w:rsidRDefault="00B23828" w:rsidP="00B23828">
      <w:pPr>
        <w:pStyle w:val="TOC7"/>
        <w:tabs>
          <w:tab w:val="right" w:leader="dot" w:pos="8313"/>
        </w:tabs>
        <w:rPr>
          <w:rFonts w:asciiTheme="minorHAnsi" w:eastAsiaTheme="minorEastAsia" w:hAnsiTheme="minorHAnsi" w:cstheme="minorBidi"/>
          <w:szCs w:val="22"/>
        </w:rPr>
      </w:pPr>
      <w:r>
        <w:t>Part 14</w:t>
      </w:r>
      <w:r>
        <w:rPr>
          <w:rFonts w:asciiTheme="minorHAnsi" w:eastAsiaTheme="minorEastAsia" w:hAnsiTheme="minorHAnsi" w:cstheme="minorBidi"/>
          <w:szCs w:val="22"/>
        </w:rPr>
        <w:tab/>
      </w:r>
      <w:r>
        <w:t>Tenancy databases</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Definitions</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Application of Criminal Code</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Application of Part</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Notice of usual use of database</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Notice of listing if database used</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Listing can be made only for particular breaches by particular persons</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Further restriction on listing</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130</w:t>
      </w:r>
      <w:r>
        <w:rPr>
          <w:rFonts w:asciiTheme="minorHAnsi" w:eastAsiaTheme="minorEastAsia" w:hAnsiTheme="minorHAnsi" w:cstheme="minorBidi"/>
          <w:sz w:val="22"/>
          <w:szCs w:val="22"/>
        </w:rPr>
        <w:tab/>
      </w:r>
      <w:r>
        <w:t>Ensuring quality of listing – landlord's obligation</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Ensuring quality of listing – database operator's obligation</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Providing copy of personal information listed</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133</w:t>
      </w:r>
      <w:r>
        <w:rPr>
          <w:rFonts w:asciiTheme="minorHAnsi" w:eastAsiaTheme="minorEastAsia" w:hAnsiTheme="minorHAnsi" w:cstheme="minorBidi"/>
          <w:sz w:val="22"/>
          <w:szCs w:val="22"/>
        </w:rPr>
        <w:tab/>
      </w:r>
      <w:r>
        <w:t>Keeping personal information listed</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134</w:t>
      </w:r>
      <w:r>
        <w:rPr>
          <w:rFonts w:asciiTheme="minorHAnsi" w:eastAsiaTheme="minorEastAsia" w:hAnsiTheme="minorHAnsi" w:cstheme="minorBidi"/>
          <w:sz w:val="22"/>
          <w:szCs w:val="22"/>
        </w:rPr>
        <w:tab/>
      </w:r>
      <w:r>
        <w:t>Powers of Tribunal</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135</w:t>
      </w:r>
      <w:r>
        <w:rPr>
          <w:rFonts w:asciiTheme="minorHAnsi" w:eastAsiaTheme="minorEastAsia" w:hAnsiTheme="minorHAnsi" w:cstheme="minorBidi"/>
          <w:sz w:val="22"/>
          <w:szCs w:val="22"/>
        </w:rPr>
        <w:tab/>
      </w:r>
      <w:r>
        <w:t>Claims of privilege under this Part</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136</w:t>
      </w:r>
      <w:r>
        <w:rPr>
          <w:rFonts w:asciiTheme="minorHAnsi" w:eastAsiaTheme="minorEastAsia" w:hAnsiTheme="minorHAnsi" w:cstheme="minorBidi"/>
          <w:sz w:val="22"/>
          <w:szCs w:val="22"/>
        </w:rPr>
        <w:tab/>
      </w:r>
      <w:r>
        <w:t>No internal review under this Part</w:t>
      </w:r>
    </w:p>
    <w:p w:rsidR="00B23828" w:rsidRDefault="00B23828" w:rsidP="00B23828">
      <w:pPr>
        <w:pStyle w:val="TOC5"/>
        <w:tabs>
          <w:tab w:val="right" w:leader="dot" w:pos="8313"/>
        </w:tabs>
        <w:spacing w:before="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Section 159 amended (Definitions)</w:t>
      </w:r>
      <w:r w:rsidRPr="00B23828">
        <w:tab/>
      </w:r>
      <w:r w:rsidRPr="00B23828">
        <w:fldChar w:fldCharType="begin"/>
      </w:r>
      <w:r w:rsidRPr="00B23828">
        <w:instrText xml:space="preserve"> PAGEREF _Toc505240110 \h </w:instrText>
      </w:r>
      <w:r w:rsidRPr="00B23828">
        <w:fldChar w:fldCharType="separate"/>
      </w:r>
      <w:r w:rsidRPr="00B23828">
        <w:t>11</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Part 18, Division 5 inserted</w:t>
      </w:r>
      <w:r w:rsidRPr="00B23828">
        <w:tab/>
      </w:r>
      <w:r w:rsidRPr="00B23828">
        <w:fldChar w:fldCharType="begin"/>
      </w:r>
      <w:r w:rsidRPr="00B23828">
        <w:instrText xml:space="preserve"> PAGEREF _Toc505240111 \h </w:instrText>
      </w:r>
      <w:r w:rsidRPr="00B23828">
        <w:fldChar w:fldCharType="separate"/>
      </w:r>
      <w:r w:rsidRPr="00B23828">
        <w:t>11</w:t>
      </w:r>
      <w:r w:rsidRPr="00B23828">
        <w:fldChar w:fldCharType="end"/>
      </w:r>
    </w:p>
    <w:p w:rsidR="00B23828" w:rsidRDefault="00B23828" w:rsidP="00B23828">
      <w:pPr>
        <w:pStyle w:val="TOC8"/>
        <w:tabs>
          <w:tab w:val="left" w:pos="3119"/>
          <w:tab w:val="right" w:leader="dot" w:pos="8313"/>
        </w:tabs>
        <w:rPr>
          <w:rFonts w:asciiTheme="minorHAnsi" w:eastAsiaTheme="minorEastAsia" w:hAnsiTheme="minorHAnsi" w:cstheme="minorBidi"/>
          <w:noProof/>
          <w:szCs w:val="22"/>
        </w:rPr>
      </w:pPr>
      <w:r>
        <w:rPr>
          <w:noProof/>
        </w:rPr>
        <w:t>Division 5</w:t>
      </w:r>
      <w:r>
        <w:rPr>
          <w:rFonts w:asciiTheme="minorHAnsi" w:eastAsiaTheme="minorEastAsia" w:hAnsiTheme="minorHAnsi" w:cstheme="minorBidi"/>
          <w:noProof/>
          <w:szCs w:val="22"/>
        </w:rPr>
        <w:tab/>
      </w:r>
      <w:r>
        <w:rPr>
          <w:noProof/>
        </w:rPr>
        <w:t>Residential Tenancies Amendment Act 2018</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172</w:t>
      </w:r>
      <w:r>
        <w:rPr>
          <w:rFonts w:asciiTheme="minorHAnsi" w:eastAsiaTheme="minorEastAsia" w:hAnsiTheme="minorHAnsi" w:cstheme="minorBidi"/>
          <w:sz w:val="22"/>
          <w:szCs w:val="22"/>
        </w:rPr>
        <w:tab/>
      </w:r>
      <w:r>
        <w:t>Definition</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173</w:t>
      </w:r>
      <w:r>
        <w:rPr>
          <w:rFonts w:asciiTheme="minorHAnsi" w:eastAsiaTheme="minorEastAsia" w:hAnsiTheme="minorHAnsi" w:cstheme="minorBidi"/>
          <w:sz w:val="22"/>
          <w:szCs w:val="22"/>
        </w:rPr>
        <w:tab/>
      </w:r>
      <w:r>
        <w:t>Transitional provision for Part 14</w:t>
      </w:r>
    </w:p>
    <w:p w:rsidR="00B23828" w:rsidRDefault="00B23828" w:rsidP="00B23828">
      <w:pPr>
        <w:pStyle w:val="TOC9"/>
        <w:tabs>
          <w:tab w:val="left" w:pos="1985"/>
          <w:tab w:val="right" w:leader="dot" w:pos="8313"/>
        </w:tabs>
        <w:rPr>
          <w:rFonts w:asciiTheme="minorHAnsi" w:eastAsiaTheme="minorEastAsia" w:hAnsiTheme="minorHAnsi" w:cstheme="minorBidi"/>
          <w:sz w:val="22"/>
          <w:szCs w:val="22"/>
        </w:rPr>
      </w:pPr>
      <w:r>
        <w:t>174</w:t>
      </w:r>
      <w:r>
        <w:rPr>
          <w:rFonts w:asciiTheme="minorHAnsi" w:eastAsiaTheme="minorEastAsia" w:hAnsiTheme="minorHAnsi" w:cstheme="minorBidi"/>
          <w:sz w:val="22"/>
          <w:szCs w:val="22"/>
        </w:rPr>
        <w:tab/>
      </w:r>
      <w:r>
        <w:t>Jurisdiction of Tribunal for Tenancy Act leases</w:t>
      </w:r>
    </w:p>
    <w:p w:rsidR="00B23828" w:rsidRDefault="00B23828" w:rsidP="00B23828">
      <w:pPr>
        <w:pStyle w:val="TOC2"/>
        <w:rPr>
          <w:rFonts w:asciiTheme="minorHAnsi" w:eastAsiaTheme="minorEastAsia" w:hAnsiTheme="minorHAnsi" w:cstheme="minorBidi"/>
          <w:b w:val="0"/>
          <w:sz w:val="22"/>
          <w:szCs w:val="22"/>
        </w:rPr>
      </w:pPr>
      <w:r>
        <w:lastRenderedPageBreak/>
        <w:t>Part 3</w:t>
      </w:r>
      <w:r>
        <w:rPr>
          <w:rFonts w:asciiTheme="minorHAnsi" w:eastAsiaTheme="minorEastAsia" w:hAnsiTheme="minorHAnsi" w:cstheme="minorBidi"/>
          <w:b w:val="0"/>
          <w:sz w:val="22"/>
          <w:szCs w:val="22"/>
        </w:rPr>
        <w:tab/>
      </w:r>
      <w:r>
        <w:t>Amendment of Residential Tenancies Regulations</w:t>
      </w:r>
    </w:p>
    <w:p w:rsidR="00B23828" w:rsidRDefault="00B23828" w:rsidP="00B23828">
      <w:pPr>
        <w:pStyle w:val="TOC5"/>
        <w:tabs>
          <w:tab w:val="right" w:leader="dot" w:pos="8313"/>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Regulations amended</w:t>
      </w:r>
      <w:r w:rsidRPr="00B23828">
        <w:tab/>
      </w:r>
      <w:r w:rsidRPr="00B23828">
        <w:fldChar w:fldCharType="begin"/>
      </w:r>
      <w:r w:rsidRPr="00B23828">
        <w:instrText xml:space="preserve"> PAGEREF _Toc505240117 \h </w:instrText>
      </w:r>
      <w:r w:rsidRPr="00B23828">
        <w:fldChar w:fldCharType="separate"/>
      </w:r>
      <w:r w:rsidRPr="00B23828">
        <w:t>12</w:t>
      </w:r>
      <w:r w:rsidRPr="00B23828">
        <w:fldChar w:fldCharType="end"/>
      </w:r>
    </w:p>
    <w:p w:rsidR="00B23828" w:rsidRDefault="00B23828" w:rsidP="00B23828">
      <w:pPr>
        <w:pStyle w:val="TOC5"/>
        <w:tabs>
          <w:tab w:val="right" w:leader="dot" w:pos="8313"/>
        </w:tabs>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Schedule 1 amended (Offences and penalties)</w:t>
      </w:r>
      <w:r w:rsidRPr="00B23828">
        <w:tab/>
      </w:r>
      <w:r w:rsidRPr="00B23828">
        <w:fldChar w:fldCharType="begin"/>
      </w:r>
      <w:r w:rsidRPr="00B23828">
        <w:instrText xml:space="preserve"> PAGEREF _Toc505240118 \h </w:instrText>
      </w:r>
      <w:r w:rsidRPr="00B23828">
        <w:fldChar w:fldCharType="separate"/>
      </w:r>
      <w:r w:rsidRPr="00B23828">
        <w:t>12</w:t>
      </w:r>
      <w:r w:rsidRPr="00B23828">
        <w:fldChar w:fldCharType="end"/>
      </w:r>
    </w:p>
    <w:p w:rsidR="00B23828" w:rsidRDefault="00B23828" w:rsidP="00B23828">
      <w:pPr>
        <w:pStyle w:val="TOC2"/>
        <w:rPr>
          <w:rFonts w:asciiTheme="minorHAnsi" w:eastAsiaTheme="minorEastAsia" w:hAnsiTheme="minorHAnsi" w:cstheme="minorBidi"/>
          <w:b w:val="0"/>
          <w:sz w:val="22"/>
          <w:szCs w:val="22"/>
        </w:rPr>
      </w:pPr>
      <w:r>
        <w:t>Part 4</w:t>
      </w:r>
      <w:r>
        <w:rPr>
          <w:rFonts w:asciiTheme="minorHAnsi" w:eastAsiaTheme="minorEastAsia" w:hAnsiTheme="minorHAnsi" w:cstheme="minorBidi"/>
          <w:b w:val="0"/>
          <w:sz w:val="22"/>
          <w:szCs w:val="22"/>
        </w:rPr>
        <w:tab/>
      </w:r>
      <w:r>
        <w:t>Repeal of Act</w:t>
      </w:r>
    </w:p>
    <w:p w:rsidR="00B23828" w:rsidRDefault="00B23828" w:rsidP="00B23828">
      <w:pPr>
        <w:pStyle w:val="TOC5"/>
        <w:tabs>
          <w:tab w:val="right" w:leader="dot" w:pos="8313"/>
        </w:tabs>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Repeal of Act</w:t>
      </w:r>
      <w:r w:rsidRPr="00B23828">
        <w:tab/>
      </w:r>
      <w:r w:rsidRPr="00B23828">
        <w:fldChar w:fldCharType="begin"/>
      </w:r>
      <w:r w:rsidRPr="00B23828">
        <w:instrText xml:space="preserve"> PAGEREF _Toc505240120 \h </w:instrText>
      </w:r>
      <w:r w:rsidRPr="00B23828">
        <w:fldChar w:fldCharType="separate"/>
      </w:r>
      <w:r w:rsidRPr="00B23828">
        <w:t>12</w:t>
      </w:r>
      <w:r w:rsidRPr="00B23828">
        <w:fldChar w:fldCharType="end"/>
      </w:r>
    </w:p>
    <w:p w:rsidR="008C5371" w:rsidRPr="00827666" w:rsidRDefault="00B23828" w:rsidP="00B23828">
      <w:r>
        <w:fldChar w:fldCharType="end"/>
      </w:r>
    </w:p>
    <w:p w:rsidR="008C5371" w:rsidRPr="00827666" w:rsidRDefault="008C5371">
      <w:pPr>
        <w:tabs>
          <w:tab w:val="left" w:pos="2127"/>
        </w:tabs>
        <w:ind w:left="720"/>
        <w:jc w:val="center"/>
        <w:sectPr w:rsidR="008C5371" w:rsidRPr="00827666" w:rsidSect="00827666">
          <w:headerReference w:type="default" r:id="rId14"/>
          <w:footerReference w:type="default" r:id="rId15"/>
          <w:headerReference w:type="first" r:id="rId16"/>
          <w:footerReference w:type="first" r:id="rId17"/>
          <w:pgSz w:w="11907" w:h="16840" w:code="9"/>
          <w:pgMar w:top="1440" w:right="1797" w:bottom="1440" w:left="1797" w:header="720" w:footer="720" w:gutter="0"/>
          <w:pgNumType w:fmt="lowerRoman" w:start="1"/>
          <w:cols w:space="720"/>
          <w:titlePg/>
          <w:docGrid w:linePitch="326"/>
        </w:sectPr>
      </w:pPr>
    </w:p>
    <w:p w:rsidR="008C5371" w:rsidRPr="00827666" w:rsidRDefault="007C358F" w:rsidP="00C6376A">
      <w:pPr>
        <w:tabs>
          <w:tab w:val="left" w:pos="1985"/>
        </w:tabs>
        <w:spacing w:after="240"/>
        <w:jc w:val="center"/>
      </w:pPr>
      <w:r w:rsidRPr="00827666">
        <w:rPr>
          <w:noProof/>
        </w:rPr>
        <w:lastRenderedPageBreak/>
        <w:drawing>
          <wp:inline distT="0" distB="0" distL="0" distR="0">
            <wp:extent cx="1403350" cy="1116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3350" cy="1116330"/>
                    </a:xfrm>
                    <a:prstGeom prst="rect">
                      <a:avLst/>
                    </a:prstGeom>
                    <a:noFill/>
                    <a:ln>
                      <a:noFill/>
                    </a:ln>
                  </pic:spPr>
                </pic:pic>
              </a:graphicData>
            </a:graphic>
          </wp:inline>
        </w:drawing>
      </w:r>
    </w:p>
    <w:p w:rsidR="008C5371" w:rsidRPr="00827666" w:rsidRDefault="00FB1AA2">
      <w:pPr>
        <w:tabs>
          <w:tab w:val="left" w:pos="993"/>
        </w:tabs>
        <w:jc w:val="center"/>
        <w:rPr>
          <w:sz w:val="36"/>
        </w:rPr>
      </w:pPr>
      <w:bookmarkStart w:id="1" w:name="NTOA"/>
      <w:bookmarkEnd w:id="1"/>
      <w:r w:rsidRPr="00827666">
        <w:rPr>
          <w:b/>
          <w:sz w:val="36"/>
        </w:rPr>
        <w:t>NORTHERN TERRITORY OF AUSTRALIA</w:t>
      </w:r>
    </w:p>
    <w:p w:rsidR="008C5371" w:rsidRPr="00827666" w:rsidRDefault="008C5371">
      <w:pPr>
        <w:spacing w:after="120"/>
        <w:jc w:val="center"/>
      </w:pPr>
      <w:r w:rsidRPr="00827666">
        <w:t>____________________</w:t>
      </w:r>
    </w:p>
    <w:p w:rsidR="008C5371" w:rsidRPr="00827666" w:rsidRDefault="0074510D">
      <w:pPr>
        <w:pStyle w:val="ActNo"/>
      </w:pPr>
      <w:r w:rsidRPr="00827666">
        <w:t xml:space="preserve">Act No. </w:t>
      </w:r>
      <w:r w:rsidR="00E04E17" w:rsidRPr="00827666">
        <w:t>[   ]</w:t>
      </w:r>
      <w:r w:rsidR="008F497C" w:rsidRPr="00827666">
        <w:t xml:space="preserve"> of 20</w:t>
      </w:r>
      <w:r w:rsidR="00616811" w:rsidRPr="00827666">
        <w:t>1</w:t>
      </w:r>
      <w:r w:rsidR="003C30F6" w:rsidRPr="00827666">
        <w:t>8</w:t>
      </w:r>
    </w:p>
    <w:p w:rsidR="008C5371" w:rsidRPr="00827666" w:rsidRDefault="008C5371" w:rsidP="00C6376A">
      <w:pPr>
        <w:spacing w:after="480"/>
        <w:jc w:val="center"/>
      </w:pPr>
      <w:r w:rsidRPr="00827666">
        <w:t>____________________</w:t>
      </w:r>
    </w:p>
    <w:p w:rsidR="008C5371" w:rsidRPr="00827666" w:rsidRDefault="00885B43">
      <w:pPr>
        <w:pStyle w:val="LongTitle"/>
      </w:pPr>
      <w:r w:rsidRPr="00827666">
        <w:t>A</w:t>
      </w:r>
      <w:r w:rsidR="00C6376A" w:rsidRPr="00827666">
        <w:t xml:space="preserve">n Act </w:t>
      </w:r>
      <w:r w:rsidR="008C5371" w:rsidRPr="00827666">
        <w:t>to amend the</w:t>
      </w:r>
      <w:r w:rsidR="0074510D" w:rsidRPr="00827666">
        <w:t xml:space="preserve"> </w:t>
      </w:r>
      <w:r w:rsidR="007C7E5A" w:rsidRPr="00827666">
        <w:rPr>
          <w:i/>
        </w:rPr>
        <w:t>Residential Tenancies</w:t>
      </w:r>
      <w:r w:rsidR="00A24DEA" w:rsidRPr="00827666">
        <w:rPr>
          <w:i/>
        </w:rPr>
        <w:t xml:space="preserve"> Act</w:t>
      </w:r>
      <w:r w:rsidR="007C7E5A" w:rsidRPr="00827666">
        <w:t>, and for related purposes</w:t>
      </w:r>
    </w:p>
    <w:p w:rsidR="008C5371" w:rsidRPr="00827666" w:rsidRDefault="008C5371">
      <w:pPr>
        <w:tabs>
          <w:tab w:val="left" w:pos="1134"/>
          <w:tab w:val="left" w:pos="2694"/>
        </w:tabs>
        <w:jc w:val="right"/>
      </w:pPr>
      <w:r w:rsidRPr="00827666">
        <w:t>[</w:t>
      </w:r>
      <w:r w:rsidR="0074510D" w:rsidRPr="00827666">
        <w:rPr>
          <w:i/>
        </w:rPr>
        <w:t>Assented to [   ]</w:t>
      </w:r>
      <w:r w:rsidRPr="00827666">
        <w:rPr>
          <w:i/>
        </w:rPr>
        <w:t xml:space="preserve"> 20</w:t>
      </w:r>
      <w:r w:rsidR="008C0F3B" w:rsidRPr="00827666">
        <w:rPr>
          <w:i/>
        </w:rPr>
        <w:t>1</w:t>
      </w:r>
      <w:r w:rsidR="007C7E5A" w:rsidRPr="00827666">
        <w:rPr>
          <w:i/>
        </w:rPr>
        <w:t>8</w:t>
      </w:r>
      <w:r w:rsidRPr="00827666">
        <w:t>]</w:t>
      </w:r>
    </w:p>
    <w:p w:rsidR="008C5371" w:rsidRPr="00827666" w:rsidRDefault="008C5371">
      <w:pPr>
        <w:spacing w:after="480"/>
        <w:ind w:left="357" w:hanging="357"/>
        <w:jc w:val="right"/>
      </w:pPr>
      <w:r w:rsidRPr="00827666">
        <w:t>[</w:t>
      </w:r>
      <w:r w:rsidR="0074510D" w:rsidRPr="00827666">
        <w:rPr>
          <w:i/>
        </w:rPr>
        <w:t xml:space="preserve">Second reading [   ] </w:t>
      </w:r>
      <w:r w:rsidRPr="00827666">
        <w:rPr>
          <w:i/>
        </w:rPr>
        <w:t>20</w:t>
      </w:r>
      <w:r w:rsidR="008C0F3B" w:rsidRPr="00827666">
        <w:rPr>
          <w:i/>
        </w:rPr>
        <w:t>1</w:t>
      </w:r>
      <w:r w:rsidR="007C7E5A" w:rsidRPr="00827666">
        <w:rPr>
          <w:i/>
        </w:rPr>
        <w:t>8</w:t>
      </w:r>
      <w:r w:rsidRPr="00827666">
        <w:t>]</w:t>
      </w:r>
    </w:p>
    <w:p w:rsidR="008C5371" w:rsidRPr="00827666" w:rsidRDefault="008C5371">
      <w:pPr>
        <w:tabs>
          <w:tab w:val="left" w:pos="2410"/>
        </w:tabs>
        <w:spacing w:after="480"/>
        <w:rPr>
          <w:b/>
        </w:rPr>
      </w:pPr>
      <w:r w:rsidRPr="00827666">
        <w:rPr>
          <w:b/>
        </w:rPr>
        <w:t>The Legislative Assembly of the Northern Territory enacts as follows</w:t>
      </w:r>
      <w:bookmarkStart w:id="2" w:name="BeIt"/>
      <w:bookmarkEnd w:id="2"/>
      <w:r w:rsidRPr="00827666">
        <w:rPr>
          <w:b/>
        </w:rPr>
        <w:t>:</w:t>
      </w:r>
    </w:p>
    <w:p w:rsidR="00582178" w:rsidRPr="00827666" w:rsidRDefault="007A6C43" w:rsidP="007A6C43">
      <w:pPr>
        <w:pStyle w:val="PartHeading"/>
      </w:pPr>
      <w:bookmarkStart w:id="3" w:name="_Toc505240085"/>
      <w:r w:rsidRPr="00827666">
        <w:rPr>
          <w:rStyle w:val="charPartText"/>
        </w:rPr>
        <w:t>Part 1</w:t>
      </w:r>
      <w:r w:rsidRPr="00827666">
        <w:rPr>
          <w:rStyle w:val="charPartText"/>
        </w:rPr>
        <w:tab/>
        <w:t>Preliminary matters</w:t>
      </w:r>
      <w:bookmarkEnd w:id="3"/>
    </w:p>
    <w:p w:rsidR="00900740" w:rsidRPr="00827666" w:rsidRDefault="00827666" w:rsidP="00582178">
      <w:pPr>
        <w:pStyle w:val="BlankHeader"/>
      </w:pPr>
      <w:r w:rsidRPr="00827666">
        <w:rPr>
          <w:rStyle w:val="charDivisionText"/>
        </w:rPr>
        <w:t xml:space="preserve"> </w:t>
      </w:r>
      <w:r w:rsidRPr="00827666">
        <w:rPr>
          <w:rStyle w:val="charSubdivisionText"/>
        </w:rPr>
        <w:t xml:space="preserve"> </w:t>
      </w:r>
    </w:p>
    <w:p w:rsidR="008C5371" w:rsidRPr="00827666" w:rsidRDefault="008C5371" w:rsidP="0004465F">
      <w:pPr>
        <w:pStyle w:val="SectionHeading"/>
        <w:shd w:val="clear" w:color="auto" w:fill="BFBFBF"/>
      </w:pPr>
      <w:bookmarkStart w:id="4" w:name="_Toc505240086"/>
      <w:r w:rsidRPr="00827666">
        <w:t>Short title</w:t>
      </w:r>
      <w:bookmarkEnd w:id="4"/>
    </w:p>
    <w:p w:rsidR="008C5371" w:rsidRPr="00827666" w:rsidRDefault="008C5371">
      <w:pPr>
        <w:pStyle w:val="Sectiontext"/>
      </w:pPr>
      <w:r w:rsidRPr="00827666">
        <w:t xml:space="preserve">This Act may be cited as the </w:t>
      </w:r>
      <w:r w:rsidR="007558AD" w:rsidRPr="00827666">
        <w:rPr>
          <w:i/>
        </w:rPr>
        <w:t>Residential Tenancies</w:t>
      </w:r>
      <w:r w:rsidR="00AC1021" w:rsidRPr="00827666">
        <w:t xml:space="preserve"> </w:t>
      </w:r>
      <w:r w:rsidRPr="00827666">
        <w:rPr>
          <w:i/>
        </w:rPr>
        <w:t>Amendment</w:t>
      </w:r>
      <w:r w:rsidR="00E72968" w:rsidRPr="00827666">
        <w:t> </w:t>
      </w:r>
      <w:r w:rsidR="00E72968" w:rsidRPr="00827666">
        <w:rPr>
          <w:i/>
        </w:rPr>
        <w:t>Act </w:t>
      </w:r>
      <w:r w:rsidRPr="00827666">
        <w:rPr>
          <w:i/>
        </w:rPr>
        <w:t>20</w:t>
      </w:r>
      <w:r w:rsidR="008C0F3B" w:rsidRPr="00827666">
        <w:rPr>
          <w:i/>
        </w:rPr>
        <w:t>1</w:t>
      </w:r>
      <w:r w:rsidR="007558AD" w:rsidRPr="00827666">
        <w:rPr>
          <w:i/>
        </w:rPr>
        <w:t>8</w:t>
      </w:r>
      <w:r w:rsidRPr="00827666">
        <w:t>.</w:t>
      </w:r>
    </w:p>
    <w:p w:rsidR="008C5371" w:rsidRPr="00827666" w:rsidRDefault="008C5371" w:rsidP="0004465F">
      <w:pPr>
        <w:pStyle w:val="SectionHeading"/>
        <w:shd w:val="clear" w:color="auto" w:fill="BFBFBF"/>
      </w:pPr>
      <w:bookmarkStart w:id="5" w:name="_Toc505240087"/>
      <w:r w:rsidRPr="00827666">
        <w:t>Commencement</w:t>
      </w:r>
      <w:bookmarkEnd w:id="5"/>
    </w:p>
    <w:p w:rsidR="00755591" w:rsidRPr="00827666" w:rsidRDefault="0084768E" w:rsidP="007558AD">
      <w:pPr>
        <w:pStyle w:val="Sectiontext"/>
      </w:pPr>
      <w:r w:rsidRPr="00827666">
        <w:t xml:space="preserve">This Act commences on the </w:t>
      </w:r>
      <w:r w:rsidR="00833745" w:rsidRPr="00827666">
        <w:t>day</w:t>
      </w:r>
      <w:r w:rsidRPr="00827666">
        <w:t xml:space="preserve"> fixed by the Administrator by </w:t>
      </w:r>
      <w:r w:rsidRPr="00827666">
        <w:rPr>
          <w:i/>
        </w:rPr>
        <w:t>Gazette</w:t>
      </w:r>
      <w:r w:rsidRPr="00827666">
        <w:t xml:space="preserve"> notice.</w:t>
      </w:r>
    </w:p>
    <w:p w:rsidR="00582178" w:rsidRPr="00827666" w:rsidRDefault="00755591" w:rsidP="007558AD">
      <w:pPr>
        <w:pStyle w:val="PartHeading"/>
      </w:pPr>
      <w:bookmarkStart w:id="6" w:name="_Toc505240088"/>
      <w:r w:rsidRPr="00827666">
        <w:rPr>
          <w:rStyle w:val="charPartText"/>
        </w:rPr>
        <w:t>Part 2</w:t>
      </w:r>
      <w:r w:rsidRPr="00827666">
        <w:rPr>
          <w:rStyle w:val="charPartText"/>
        </w:rPr>
        <w:tab/>
        <w:t xml:space="preserve">Amendment of </w:t>
      </w:r>
      <w:r w:rsidR="007558AD" w:rsidRPr="00827666">
        <w:rPr>
          <w:rStyle w:val="charPartText"/>
        </w:rPr>
        <w:t>Residential Tenancies</w:t>
      </w:r>
      <w:r w:rsidRPr="00827666">
        <w:rPr>
          <w:rStyle w:val="charPartText"/>
        </w:rPr>
        <w:t xml:space="preserve"> Act</w:t>
      </w:r>
      <w:bookmarkEnd w:id="6"/>
    </w:p>
    <w:p w:rsidR="00900740" w:rsidRPr="00827666" w:rsidRDefault="00827666" w:rsidP="00582178">
      <w:pPr>
        <w:pStyle w:val="BlankHeader"/>
      </w:pPr>
      <w:r w:rsidRPr="00827666">
        <w:rPr>
          <w:rStyle w:val="charDivisionText"/>
        </w:rPr>
        <w:t xml:space="preserve"> </w:t>
      </w:r>
      <w:r w:rsidRPr="00827666">
        <w:rPr>
          <w:rStyle w:val="charSubdivisionText"/>
        </w:rPr>
        <w:t xml:space="preserve"> </w:t>
      </w:r>
    </w:p>
    <w:p w:rsidR="00755591" w:rsidRPr="00827666" w:rsidRDefault="00755591" w:rsidP="0004465F">
      <w:pPr>
        <w:pStyle w:val="SectionHeading"/>
        <w:shd w:val="clear" w:color="auto" w:fill="BFBFBF"/>
      </w:pPr>
      <w:bookmarkStart w:id="7" w:name="_Toc505240089"/>
      <w:r w:rsidRPr="00827666">
        <w:t>Act amended</w:t>
      </w:r>
      <w:bookmarkEnd w:id="7"/>
    </w:p>
    <w:p w:rsidR="00755591" w:rsidRPr="00827666" w:rsidRDefault="007558AD" w:rsidP="00755591">
      <w:pPr>
        <w:pStyle w:val="Sectiontext"/>
      </w:pPr>
      <w:r w:rsidRPr="00827666">
        <w:t>This Part</w:t>
      </w:r>
      <w:r w:rsidR="00755591" w:rsidRPr="00827666">
        <w:t xml:space="preserve"> amends the </w:t>
      </w:r>
      <w:r w:rsidRPr="00827666">
        <w:rPr>
          <w:i/>
        </w:rPr>
        <w:t>Residential Tenancies</w:t>
      </w:r>
      <w:r w:rsidR="00E72968" w:rsidRPr="00827666">
        <w:t> </w:t>
      </w:r>
      <w:r w:rsidR="00755591" w:rsidRPr="00827666">
        <w:rPr>
          <w:i/>
        </w:rPr>
        <w:t>Act</w:t>
      </w:r>
      <w:r w:rsidR="00755591" w:rsidRPr="00827666">
        <w:t>.</w:t>
      </w:r>
    </w:p>
    <w:p w:rsidR="00C30562" w:rsidRPr="00827666" w:rsidRDefault="00C30562" w:rsidP="00C30562">
      <w:pPr>
        <w:pStyle w:val="SectionHeading"/>
        <w:shd w:val="clear" w:color="auto" w:fill="BFBFBF"/>
      </w:pPr>
      <w:bookmarkStart w:id="8" w:name="_Toc505240090"/>
      <w:r w:rsidRPr="00827666">
        <w:lastRenderedPageBreak/>
        <w:t>Section 4 amended (Definitions)</w:t>
      </w:r>
      <w:bookmarkEnd w:id="8"/>
    </w:p>
    <w:p w:rsidR="00C30562" w:rsidRPr="00827666" w:rsidRDefault="00C30562" w:rsidP="00C30562">
      <w:pPr>
        <w:pStyle w:val="AmendingSection"/>
        <w:keepNext/>
        <w:rPr>
          <w:b/>
        </w:rPr>
      </w:pPr>
      <w:r w:rsidRPr="00827666">
        <w:t>(1)</w:t>
      </w:r>
      <w:r w:rsidRPr="00827666">
        <w:tab/>
        <w:t>Section 4</w:t>
      </w:r>
    </w:p>
    <w:p w:rsidR="00C30562" w:rsidRPr="00827666" w:rsidRDefault="00C30562" w:rsidP="00C30562">
      <w:pPr>
        <w:pStyle w:val="Sectiontext"/>
        <w:keepNext/>
        <w:rPr>
          <w:i/>
        </w:rPr>
      </w:pPr>
      <w:r w:rsidRPr="00827666">
        <w:rPr>
          <w:i/>
        </w:rPr>
        <w:t>omit</w:t>
      </w:r>
    </w:p>
    <w:p w:rsidR="00C30562" w:rsidRPr="00827666" w:rsidRDefault="00C30562" w:rsidP="00B23828">
      <w:pPr>
        <w:pStyle w:val="Sectiontext"/>
      </w:pPr>
      <w:r w:rsidRPr="00827666">
        <w:t>, unless the contrary intention appears</w:t>
      </w:r>
    </w:p>
    <w:p w:rsidR="00A9402B" w:rsidRPr="00827666" w:rsidRDefault="00A9402B" w:rsidP="00A9402B">
      <w:pPr>
        <w:pStyle w:val="AmendingSection"/>
        <w:keepNext/>
      </w:pPr>
      <w:r w:rsidRPr="00827666">
        <w:t>(2)</w:t>
      </w:r>
      <w:r w:rsidRPr="00827666">
        <w:tab/>
        <w:t>Section 4</w:t>
      </w:r>
    </w:p>
    <w:p w:rsidR="00C30562" w:rsidRPr="00827666" w:rsidRDefault="00C30562" w:rsidP="00C30562">
      <w:pPr>
        <w:pStyle w:val="Sectiontext"/>
        <w:keepNext/>
      </w:pPr>
      <w:r w:rsidRPr="00827666">
        <w:rPr>
          <w:i/>
        </w:rPr>
        <w:t>insert (in alphabetical order)</w:t>
      </w:r>
    </w:p>
    <w:p w:rsidR="00C30562" w:rsidRPr="00827666" w:rsidRDefault="00C30562" w:rsidP="00C30562">
      <w:pPr>
        <w:pStyle w:val="Definition"/>
      </w:pPr>
      <w:r w:rsidRPr="00827666">
        <w:rPr>
          <w:b/>
          <w:i/>
        </w:rPr>
        <w:t>database</w:t>
      </w:r>
      <w:r w:rsidRPr="00827666">
        <w:t>, for Part 14, see section 123.</w:t>
      </w:r>
    </w:p>
    <w:p w:rsidR="00C30562" w:rsidRPr="00827666" w:rsidRDefault="00C30562" w:rsidP="00C30562">
      <w:pPr>
        <w:pStyle w:val="Definition"/>
      </w:pPr>
      <w:r w:rsidRPr="00827666">
        <w:rPr>
          <w:b/>
          <w:i/>
        </w:rPr>
        <w:t>database operator</w:t>
      </w:r>
      <w:r w:rsidRPr="00827666">
        <w:t>, for Part 14, see section 123.</w:t>
      </w:r>
    </w:p>
    <w:p w:rsidR="00C30562" w:rsidRPr="00827666" w:rsidRDefault="00C30562" w:rsidP="00C30562">
      <w:pPr>
        <w:pStyle w:val="Definition"/>
        <w:keepNext/>
      </w:pPr>
      <w:r w:rsidRPr="00827666">
        <w:rPr>
          <w:b/>
          <w:i/>
        </w:rPr>
        <w:t>list</w:t>
      </w:r>
      <w:r w:rsidRPr="00827666">
        <w:t>, for Part 14, see section 123.</w:t>
      </w:r>
    </w:p>
    <w:p w:rsidR="00C30562" w:rsidRPr="00827666" w:rsidRDefault="00C30562" w:rsidP="00576C79">
      <w:pPr>
        <w:pStyle w:val="Definition"/>
        <w:keepNext/>
      </w:pPr>
      <w:r w:rsidRPr="00827666">
        <w:rPr>
          <w:b/>
          <w:i/>
        </w:rPr>
        <w:t>personal information</w:t>
      </w:r>
      <w:r w:rsidRPr="00827666">
        <w:t>, for Part 14, see section 123.</w:t>
      </w:r>
    </w:p>
    <w:p w:rsidR="00C30562" w:rsidRPr="00827666" w:rsidRDefault="00C30562" w:rsidP="00C30562">
      <w:pPr>
        <w:pStyle w:val="Definition"/>
      </w:pPr>
      <w:r w:rsidRPr="00827666">
        <w:rPr>
          <w:b/>
          <w:i/>
        </w:rPr>
        <w:t>tenancy database</w:t>
      </w:r>
      <w:r w:rsidRPr="00827666">
        <w:t>, for Part 14, see section 123.</w:t>
      </w:r>
    </w:p>
    <w:p w:rsidR="00C30562" w:rsidRPr="00827666" w:rsidRDefault="00C30562" w:rsidP="00C30562">
      <w:pPr>
        <w:pStyle w:val="AmendingSection"/>
        <w:keepNext/>
      </w:pPr>
      <w:r w:rsidRPr="00827666">
        <w:t>(</w:t>
      </w:r>
      <w:r w:rsidR="00A9402B">
        <w:t>3</w:t>
      </w:r>
      <w:r w:rsidRPr="00827666">
        <w:t>)</w:t>
      </w:r>
      <w:r w:rsidRPr="00827666">
        <w:tab/>
        <w:t>Section 4, at the end</w:t>
      </w:r>
    </w:p>
    <w:p w:rsidR="00C30562" w:rsidRPr="00827666" w:rsidRDefault="00C30562" w:rsidP="00C30562">
      <w:pPr>
        <w:pStyle w:val="Sectiontext"/>
        <w:keepNext/>
        <w:rPr>
          <w:i/>
        </w:rPr>
      </w:pPr>
      <w:r w:rsidRPr="00827666">
        <w:rPr>
          <w:i/>
        </w:rPr>
        <w:t>insert</w:t>
      </w:r>
    </w:p>
    <w:p w:rsidR="00C30562" w:rsidRPr="00827666" w:rsidRDefault="00C30562" w:rsidP="00C30562">
      <w:pPr>
        <w:pStyle w:val="Example"/>
        <w:keepNext/>
      </w:pPr>
      <w:r w:rsidRPr="00827666">
        <w:t>Note for section 4</w:t>
      </w:r>
    </w:p>
    <w:p w:rsidR="00C30562" w:rsidRPr="00827666" w:rsidRDefault="00C30562" w:rsidP="004A6876">
      <w:pPr>
        <w:pStyle w:val="Example"/>
        <w:spacing w:after="240"/>
      </w:pPr>
      <w:r w:rsidRPr="00827666">
        <w:t>The Interpretation Act contains definitions and other provisions that may be relevant to this Act.</w:t>
      </w:r>
    </w:p>
    <w:p w:rsidR="00342F3A" w:rsidRPr="00827666" w:rsidRDefault="00342F3A" w:rsidP="00342F3A">
      <w:pPr>
        <w:pStyle w:val="SectionHeading"/>
        <w:shd w:val="clear" w:color="auto" w:fill="BFBFBF" w:themeFill="background1" w:themeFillShade="BF"/>
      </w:pPr>
      <w:bookmarkStart w:id="9" w:name="_Toc505240091"/>
      <w:r w:rsidRPr="00827666">
        <w:t>Section 18 amended (Commissioner is enforcement agency for purposes of TINES)</w:t>
      </w:r>
      <w:bookmarkEnd w:id="9"/>
    </w:p>
    <w:p w:rsidR="00342F3A" w:rsidRPr="00827666" w:rsidRDefault="00342F3A" w:rsidP="00342F3A">
      <w:pPr>
        <w:pStyle w:val="Sectiontext"/>
      </w:pPr>
      <w:r w:rsidRPr="00827666">
        <w:t>Section 18, heading</w:t>
      </w:r>
    </w:p>
    <w:p w:rsidR="00342F3A" w:rsidRPr="00827666" w:rsidRDefault="00342F3A" w:rsidP="00342F3A">
      <w:pPr>
        <w:pStyle w:val="Sectiontext"/>
      </w:pPr>
      <w:r w:rsidRPr="00827666">
        <w:rPr>
          <w:i/>
        </w:rPr>
        <w:t>omit</w:t>
      </w:r>
    </w:p>
    <w:p w:rsidR="00342F3A" w:rsidRPr="00827666" w:rsidRDefault="00342F3A" w:rsidP="00342F3A">
      <w:pPr>
        <w:pStyle w:val="Sectiontext"/>
        <w:rPr>
          <w:b/>
        </w:rPr>
      </w:pPr>
      <w:r w:rsidRPr="00827666">
        <w:rPr>
          <w:b/>
        </w:rPr>
        <w:t>for purposes of TINES</w:t>
      </w:r>
    </w:p>
    <w:p w:rsidR="008A520A" w:rsidRPr="00827666" w:rsidRDefault="008A520A" w:rsidP="00396117">
      <w:pPr>
        <w:pStyle w:val="SectionHeading"/>
        <w:shd w:val="clear" w:color="auto" w:fill="BFBFBF" w:themeFill="background1" w:themeFillShade="BF"/>
      </w:pPr>
      <w:bookmarkStart w:id="10" w:name="_Toc505240092"/>
      <w:r w:rsidRPr="00827666">
        <w:t>Section 42 amended</w:t>
      </w:r>
      <w:r w:rsidR="00396117" w:rsidRPr="00827666">
        <w:t xml:space="preserve"> (Tribunal may declare rent excessive)</w:t>
      </w:r>
      <w:bookmarkEnd w:id="10"/>
    </w:p>
    <w:p w:rsidR="008A520A" w:rsidRPr="00827666" w:rsidRDefault="008A520A" w:rsidP="008A520A">
      <w:pPr>
        <w:pStyle w:val="Sectiontext"/>
        <w:keepNext/>
      </w:pPr>
      <w:r w:rsidRPr="00827666">
        <w:t>Section 42(6)</w:t>
      </w:r>
    </w:p>
    <w:p w:rsidR="008A520A" w:rsidRPr="00827666" w:rsidRDefault="008A520A" w:rsidP="008A520A">
      <w:pPr>
        <w:pStyle w:val="Sectiontext"/>
        <w:rPr>
          <w:i/>
        </w:rPr>
      </w:pPr>
      <w:r w:rsidRPr="00827666">
        <w:rPr>
          <w:i/>
        </w:rPr>
        <w:t>omit</w:t>
      </w:r>
    </w:p>
    <w:p w:rsidR="00D64190" w:rsidRPr="00827666" w:rsidRDefault="00D64190" w:rsidP="0037619E">
      <w:pPr>
        <w:pStyle w:val="SectionHeading"/>
        <w:shd w:val="clear" w:color="auto" w:fill="BFBFBF"/>
      </w:pPr>
      <w:bookmarkStart w:id="11" w:name="_Toc505240093"/>
      <w:r w:rsidRPr="00827666">
        <w:t>Section 110 amended</w:t>
      </w:r>
      <w:r w:rsidR="0037619E" w:rsidRPr="00827666">
        <w:t xml:space="preserve"> (Condition report at end of tenancy)</w:t>
      </w:r>
      <w:bookmarkEnd w:id="11"/>
    </w:p>
    <w:p w:rsidR="00D64190" w:rsidRPr="00827666" w:rsidRDefault="00D64190" w:rsidP="00951ECF">
      <w:pPr>
        <w:pStyle w:val="Sectiontext"/>
        <w:keepNext/>
      </w:pPr>
      <w:r w:rsidRPr="00827666">
        <w:t>Section 110(7)</w:t>
      </w:r>
    </w:p>
    <w:p w:rsidR="00D64190" w:rsidRPr="00827666" w:rsidRDefault="00AD2C3E" w:rsidP="00951ECF">
      <w:pPr>
        <w:pStyle w:val="Sectiontext"/>
        <w:keepNext/>
        <w:rPr>
          <w:i/>
        </w:rPr>
      </w:pPr>
      <w:r w:rsidRPr="00827666">
        <w:rPr>
          <w:i/>
        </w:rPr>
        <w:t>omit</w:t>
      </w:r>
    </w:p>
    <w:p w:rsidR="00AD2C3E" w:rsidRPr="00827666" w:rsidRDefault="00AD2C3E" w:rsidP="00B23828">
      <w:pPr>
        <w:pStyle w:val="Sectiontext"/>
      </w:pPr>
      <w:r w:rsidRPr="00827666">
        <w:t>request</w:t>
      </w:r>
    </w:p>
    <w:p w:rsidR="00AD2C3E" w:rsidRPr="00827666" w:rsidRDefault="00AD2C3E" w:rsidP="0089196C">
      <w:pPr>
        <w:pStyle w:val="Sectiontext"/>
        <w:keepNext/>
        <w:rPr>
          <w:i/>
        </w:rPr>
      </w:pPr>
      <w:r w:rsidRPr="00827666">
        <w:rPr>
          <w:i/>
        </w:rPr>
        <w:lastRenderedPageBreak/>
        <w:t>insert</w:t>
      </w:r>
    </w:p>
    <w:p w:rsidR="00AD2C3E" w:rsidRPr="00827666" w:rsidRDefault="00AD2C3E" w:rsidP="005A436D">
      <w:pPr>
        <w:pStyle w:val="Sectiontext"/>
      </w:pPr>
      <w:r w:rsidRPr="00827666">
        <w:t>direct</w:t>
      </w:r>
    </w:p>
    <w:p w:rsidR="00F125F4" w:rsidRPr="00827666" w:rsidRDefault="00F125F4" w:rsidP="00F125F4">
      <w:pPr>
        <w:pStyle w:val="SectionHeading"/>
        <w:shd w:val="clear" w:color="auto" w:fill="BFBFBF"/>
      </w:pPr>
      <w:bookmarkStart w:id="12" w:name="_Toc505240094"/>
      <w:r w:rsidRPr="00827666">
        <w:t>Part 14 inserted</w:t>
      </w:r>
      <w:bookmarkEnd w:id="12"/>
    </w:p>
    <w:p w:rsidR="00F125F4" w:rsidRPr="00827666" w:rsidRDefault="00F125F4" w:rsidP="000B6163">
      <w:pPr>
        <w:pStyle w:val="Sectiontext"/>
        <w:keepNext/>
      </w:pPr>
      <w:r w:rsidRPr="00827666">
        <w:t>After section 122</w:t>
      </w:r>
    </w:p>
    <w:p w:rsidR="00F125F4" w:rsidRPr="00827666" w:rsidRDefault="00F125F4" w:rsidP="000B6163">
      <w:pPr>
        <w:pStyle w:val="Sectiontext"/>
        <w:keepNext/>
        <w:rPr>
          <w:i/>
        </w:rPr>
      </w:pPr>
      <w:r w:rsidRPr="00827666">
        <w:rPr>
          <w:i/>
        </w:rPr>
        <w:t>insert</w:t>
      </w:r>
    </w:p>
    <w:p w:rsidR="00F125F4" w:rsidRPr="00827666" w:rsidRDefault="00F125F4" w:rsidP="00827666">
      <w:pPr>
        <w:pStyle w:val="NewPartHeading"/>
      </w:pPr>
      <w:bookmarkStart w:id="13" w:name="_Toc505240095"/>
      <w:r w:rsidRPr="00827666">
        <w:t>Part 14</w:t>
      </w:r>
      <w:r w:rsidRPr="00827666">
        <w:tab/>
        <w:t>Tenancy databases</w:t>
      </w:r>
      <w:bookmarkEnd w:id="13"/>
    </w:p>
    <w:p w:rsidR="001324D2" w:rsidRPr="00827666" w:rsidRDefault="001A6EE7" w:rsidP="001A6EE7">
      <w:pPr>
        <w:pStyle w:val="NewSectionHeading"/>
      </w:pPr>
      <w:bookmarkStart w:id="14" w:name="_Toc505240096"/>
      <w:r w:rsidRPr="00827666">
        <w:t>123</w:t>
      </w:r>
      <w:r w:rsidRPr="00827666">
        <w:tab/>
        <w:t>Definitions</w:t>
      </w:r>
      <w:bookmarkEnd w:id="14"/>
    </w:p>
    <w:p w:rsidR="001324D2" w:rsidRPr="00827666" w:rsidRDefault="001324D2" w:rsidP="00B00B47">
      <w:pPr>
        <w:pStyle w:val="Sectiontext"/>
        <w:keepNext/>
      </w:pPr>
      <w:r w:rsidRPr="00827666">
        <w:t>In this Part:</w:t>
      </w:r>
    </w:p>
    <w:p w:rsidR="001324D2" w:rsidRPr="00827666" w:rsidRDefault="001324D2" w:rsidP="001324D2">
      <w:pPr>
        <w:pStyle w:val="Definition"/>
      </w:pPr>
      <w:r w:rsidRPr="00827666">
        <w:rPr>
          <w:b/>
          <w:i/>
        </w:rPr>
        <w:t>database</w:t>
      </w:r>
      <w:r w:rsidRPr="00827666">
        <w:t xml:space="preserve"> means a system, device or other thing used for storing information, whether electronically or in some other form.</w:t>
      </w:r>
    </w:p>
    <w:p w:rsidR="001324D2" w:rsidRPr="00827666" w:rsidRDefault="001324D2" w:rsidP="001324D2">
      <w:pPr>
        <w:pStyle w:val="Definition"/>
      </w:pPr>
      <w:r w:rsidRPr="00827666">
        <w:rPr>
          <w:b/>
          <w:i/>
        </w:rPr>
        <w:t>database operator</w:t>
      </w:r>
      <w:r w:rsidRPr="00827666">
        <w:rPr>
          <w:i/>
        </w:rPr>
        <w:t xml:space="preserve"> </w:t>
      </w:r>
      <w:r w:rsidRPr="00827666">
        <w:t>means a</w:t>
      </w:r>
      <w:r w:rsidR="00555C5E" w:rsidRPr="00827666">
        <w:t>n</w:t>
      </w:r>
      <w:r w:rsidRPr="00827666">
        <w:t xml:space="preserve"> </w:t>
      </w:r>
      <w:r w:rsidR="00473D82" w:rsidRPr="00827666">
        <w:t>entity</w:t>
      </w:r>
      <w:r w:rsidRPr="00827666">
        <w:t xml:space="preserve"> that operates a tenancy database.</w:t>
      </w:r>
    </w:p>
    <w:p w:rsidR="00AF5EF7" w:rsidRPr="00827666" w:rsidRDefault="001324D2" w:rsidP="00AF5EF7">
      <w:pPr>
        <w:pStyle w:val="Paragraph"/>
        <w:keepNext/>
      </w:pPr>
      <w:r w:rsidRPr="00827666">
        <w:rPr>
          <w:b/>
          <w:i/>
        </w:rPr>
        <w:t>list</w:t>
      </w:r>
      <w:r w:rsidRPr="00827666">
        <w:t xml:space="preserve">, </w:t>
      </w:r>
      <w:r w:rsidR="00840D83" w:rsidRPr="00827666">
        <w:t xml:space="preserve">in relation to </w:t>
      </w:r>
      <w:r w:rsidRPr="00827666">
        <w:t>personal information</w:t>
      </w:r>
      <w:r w:rsidR="00682923" w:rsidRPr="00827666">
        <w:t>:</w:t>
      </w:r>
    </w:p>
    <w:p w:rsidR="001324D2" w:rsidRPr="00827666" w:rsidRDefault="00AF5EF7" w:rsidP="00682923">
      <w:pPr>
        <w:pStyle w:val="Paragraph"/>
      </w:pPr>
      <w:r w:rsidRPr="00827666">
        <w:t>(a)</w:t>
      </w:r>
      <w:r w:rsidRPr="00827666">
        <w:tab/>
      </w:r>
      <w:r w:rsidR="00682923" w:rsidRPr="00827666">
        <w:t xml:space="preserve">means </w:t>
      </w:r>
      <w:r w:rsidR="001324D2" w:rsidRPr="00827666">
        <w:t xml:space="preserve">enter </w:t>
      </w:r>
      <w:r w:rsidR="00874C80" w:rsidRPr="00827666">
        <w:t xml:space="preserve">the </w:t>
      </w:r>
      <w:r w:rsidR="00BB076E" w:rsidRPr="00827666">
        <w:t xml:space="preserve">personal </w:t>
      </w:r>
      <w:r w:rsidR="001324D2" w:rsidRPr="00827666">
        <w:t xml:space="preserve">information into </w:t>
      </w:r>
      <w:r w:rsidR="00234387" w:rsidRPr="00827666">
        <w:t>a</w:t>
      </w:r>
      <w:r w:rsidR="001324D2" w:rsidRPr="00827666">
        <w:t xml:space="preserve"> </w:t>
      </w:r>
      <w:r w:rsidR="0080269E" w:rsidRPr="00827666">
        <w:t xml:space="preserve">tenancy </w:t>
      </w:r>
      <w:r w:rsidR="001324D2" w:rsidRPr="00827666">
        <w:t>databas</w:t>
      </w:r>
      <w:r w:rsidR="00840D83" w:rsidRPr="00827666">
        <w:t>e</w:t>
      </w:r>
      <w:r w:rsidR="00682923" w:rsidRPr="00827666">
        <w:t xml:space="preserve"> or </w:t>
      </w:r>
      <w:r w:rsidR="001324D2" w:rsidRPr="00827666">
        <w:t xml:space="preserve">give the </w:t>
      </w:r>
      <w:r w:rsidR="00BB076E" w:rsidRPr="00827666">
        <w:t xml:space="preserve">personal </w:t>
      </w:r>
      <w:r w:rsidR="001324D2" w:rsidRPr="00827666">
        <w:t xml:space="preserve">information to a database operator or someone else </w:t>
      </w:r>
      <w:r w:rsidR="00F90549" w:rsidRPr="00827666">
        <w:t>to enter</w:t>
      </w:r>
      <w:r w:rsidR="001324D2" w:rsidRPr="00827666">
        <w:t xml:space="preserve"> into</w:t>
      </w:r>
      <w:r w:rsidR="00234387" w:rsidRPr="00827666">
        <w:t xml:space="preserve"> a</w:t>
      </w:r>
      <w:r w:rsidR="001324D2" w:rsidRPr="00827666">
        <w:t xml:space="preserve"> </w:t>
      </w:r>
      <w:r w:rsidR="0080269E" w:rsidRPr="00827666">
        <w:t xml:space="preserve">tenancy </w:t>
      </w:r>
      <w:r w:rsidR="001324D2" w:rsidRPr="00827666">
        <w:t>database</w:t>
      </w:r>
      <w:r w:rsidR="00682923" w:rsidRPr="00827666">
        <w:t>; and</w:t>
      </w:r>
    </w:p>
    <w:p w:rsidR="004343E7" w:rsidRPr="00827666" w:rsidRDefault="00682923" w:rsidP="002329FB">
      <w:pPr>
        <w:pStyle w:val="Paragraph"/>
      </w:pPr>
      <w:r w:rsidRPr="00827666">
        <w:t>(b)</w:t>
      </w:r>
      <w:r w:rsidRPr="00827666">
        <w:tab/>
      </w:r>
      <w:r w:rsidR="002329FB" w:rsidRPr="00827666">
        <w:t xml:space="preserve">includes amend personal information </w:t>
      </w:r>
      <w:r w:rsidR="004F1013" w:rsidRPr="00827666">
        <w:t xml:space="preserve">already </w:t>
      </w:r>
      <w:r w:rsidR="002329FB" w:rsidRPr="00827666">
        <w:t xml:space="preserve">in </w:t>
      </w:r>
      <w:r w:rsidR="00D55CBD" w:rsidRPr="00827666">
        <w:t>a tenancy</w:t>
      </w:r>
      <w:r w:rsidR="002329FB" w:rsidRPr="00827666">
        <w:t xml:space="preserve"> database to include </w:t>
      </w:r>
      <w:r w:rsidR="00BA15BC" w:rsidRPr="00827666">
        <w:t xml:space="preserve">additional </w:t>
      </w:r>
      <w:r w:rsidR="00BB076E" w:rsidRPr="00827666">
        <w:t xml:space="preserve">personal </w:t>
      </w:r>
      <w:r w:rsidR="00BA15BC" w:rsidRPr="00827666">
        <w:t xml:space="preserve">information about </w:t>
      </w:r>
      <w:r w:rsidR="00E404E1" w:rsidRPr="00827666">
        <w:t xml:space="preserve">the </w:t>
      </w:r>
      <w:r w:rsidR="006D5279" w:rsidRPr="00827666">
        <w:t>person</w:t>
      </w:r>
      <w:r w:rsidR="00E404E1" w:rsidRPr="00827666">
        <w:t>.</w:t>
      </w:r>
    </w:p>
    <w:p w:rsidR="00D55CBD" w:rsidRPr="00827666" w:rsidRDefault="001324D2" w:rsidP="000770E2">
      <w:pPr>
        <w:pStyle w:val="Definition"/>
        <w:keepNext/>
      </w:pPr>
      <w:r w:rsidRPr="00827666">
        <w:rPr>
          <w:b/>
          <w:i/>
        </w:rPr>
        <w:t>personal information</w:t>
      </w:r>
      <w:r w:rsidR="00D55CBD" w:rsidRPr="00827666">
        <w:t>:</w:t>
      </w:r>
    </w:p>
    <w:p w:rsidR="001324D2" w:rsidRPr="00827666" w:rsidRDefault="00D55CBD" w:rsidP="00D55CBD">
      <w:pPr>
        <w:pStyle w:val="Paragraph"/>
      </w:pPr>
      <w:r w:rsidRPr="00827666">
        <w:t>(a)</w:t>
      </w:r>
      <w:r w:rsidRPr="00827666">
        <w:tab/>
      </w:r>
      <w:r w:rsidR="00DA10AB" w:rsidRPr="00827666">
        <w:t xml:space="preserve">means </w:t>
      </w:r>
      <w:r w:rsidR="001324D2" w:rsidRPr="00827666">
        <w:t xml:space="preserve">information or an opinion, whether true or not, about an individual whose identity is apparent, or can reasonably be ascertained, </w:t>
      </w:r>
      <w:r w:rsidRPr="00827666">
        <w:t>from the information or opinion; and</w:t>
      </w:r>
    </w:p>
    <w:p w:rsidR="00D55CBD" w:rsidRPr="00827666" w:rsidRDefault="00D55CBD" w:rsidP="00D55CBD">
      <w:pPr>
        <w:pStyle w:val="Paragraph"/>
      </w:pPr>
      <w:r w:rsidRPr="00827666">
        <w:t>(b)</w:t>
      </w:r>
      <w:r w:rsidRPr="00827666">
        <w:tab/>
        <w:t>includes an individual's name.</w:t>
      </w:r>
    </w:p>
    <w:p w:rsidR="001324D2" w:rsidRPr="00827666" w:rsidRDefault="001324D2" w:rsidP="001324D2">
      <w:pPr>
        <w:pStyle w:val="Definition"/>
        <w:keepNext/>
      </w:pPr>
      <w:r w:rsidRPr="00827666">
        <w:rPr>
          <w:b/>
          <w:i/>
        </w:rPr>
        <w:t>tenancy database</w:t>
      </w:r>
      <w:r w:rsidRPr="00827666">
        <w:t xml:space="preserve"> means</w:t>
      </w:r>
      <w:r w:rsidR="00B53965" w:rsidRPr="00827666">
        <w:t xml:space="preserve"> a database</w:t>
      </w:r>
      <w:r w:rsidR="007B7750" w:rsidRPr="00827666">
        <w:t>:</w:t>
      </w:r>
    </w:p>
    <w:p w:rsidR="001324D2" w:rsidRPr="00827666" w:rsidRDefault="001324D2" w:rsidP="001324D2">
      <w:pPr>
        <w:pStyle w:val="Paragraph"/>
      </w:pPr>
      <w:r w:rsidRPr="00827666">
        <w:t>(a)</w:t>
      </w:r>
      <w:r w:rsidRPr="00827666">
        <w:tab/>
      </w:r>
      <w:r w:rsidR="00B53965" w:rsidRPr="00827666">
        <w:t>that contains</w:t>
      </w:r>
      <w:r w:rsidRPr="00827666">
        <w:t xml:space="preserve"> personal information:</w:t>
      </w:r>
    </w:p>
    <w:p w:rsidR="001324D2" w:rsidRPr="00827666" w:rsidRDefault="001324D2" w:rsidP="001324D2">
      <w:pPr>
        <w:pStyle w:val="Subpara"/>
      </w:pPr>
      <w:r w:rsidRPr="00827666">
        <w:t>(</w:t>
      </w:r>
      <w:proofErr w:type="spellStart"/>
      <w:r w:rsidRPr="00827666">
        <w:t>i</w:t>
      </w:r>
      <w:proofErr w:type="spellEnd"/>
      <w:r w:rsidRPr="00827666">
        <w:t>)</w:t>
      </w:r>
      <w:r w:rsidRPr="00827666">
        <w:tab/>
        <w:t>relating to, or arising from, the occupation of premises under a tenancy agreement; or</w:t>
      </w:r>
    </w:p>
    <w:p w:rsidR="001324D2" w:rsidRPr="00827666" w:rsidRDefault="001324D2" w:rsidP="001324D2">
      <w:pPr>
        <w:pStyle w:val="Subpara"/>
      </w:pPr>
      <w:r w:rsidRPr="00827666">
        <w:t>(ii)</w:t>
      </w:r>
      <w:r w:rsidRPr="00827666">
        <w:tab/>
        <w:t>entered into the database for reasons relating to, or arising from, the occupation of premises under a tenancy agreement; and</w:t>
      </w:r>
    </w:p>
    <w:p w:rsidR="00DE7481" w:rsidRPr="00827666" w:rsidRDefault="001324D2" w:rsidP="00DE7481">
      <w:pPr>
        <w:pStyle w:val="Paragraph"/>
      </w:pPr>
      <w:r w:rsidRPr="00827666">
        <w:lastRenderedPageBreak/>
        <w:t>(b)</w:t>
      </w:r>
      <w:r w:rsidRPr="00827666">
        <w:tab/>
      </w:r>
      <w:r w:rsidR="00B53965" w:rsidRPr="00827666">
        <w:t xml:space="preserve">that </w:t>
      </w:r>
      <w:r w:rsidR="00554F32" w:rsidRPr="00827666">
        <w:t xml:space="preserve">is </w:t>
      </w:r>
      <w:r w:rsidR="003A0928" w:rsidRPr="00827666">
        <w:t>intended</w:t>
      </w:r>
      <w:r w:rsidR="00554F32" w:rsidRPr="00827666">
        <w:t xml:space="preserve"> </w:t>
      </w:r>
      <w:r w:rsidR="00473DFC" w:rsidRPr="00827666">
        <w:t>to be used</w:t>
      </w:r>
      <w:r w:rsidRPr="00827666">
        <w:t xml:space="preserve"> by landlords </w:t>
      </w:r>
      <w:r w:rsidR="001672FD" w:rsidRPr="00827666">
        <w:t>to</w:t>
      </w:r>
      <w:r w:rsidR="008B6AC9" w:rsidRPr="00827666">
        <w:t xml:space="preserve"> check a person'</w:t>
      </w:r>
      <w:r w:rsidRPr="00827666">
        <w:t xml:space="preserve">s tenancy history </w:t>
      </w:r>
      <w:r w:rsidR="00473DFC" w:rsidRPr="00827666">
        <w:t>to decide whether to enter into a tenancy agreement with the person.</w:t>
      </w:r>
    </w:p>
    <w:p w:rsidR="007003A0" w:rsidRPr="00827666" w:rsidRDefault="007003A0" w:rsidP="007003A0">
      <w:pPr>
        <w:pStyle w:val="NewSectionHeading"/>
      </w:pPr>
      <w:bookmarkStart w:id="15" w:name="_Toc505240097"/>
      <w:r w:rsidRPr="00827666">
        <w:t>124</w:t>
      </w:r>
      <w:r w:rsidRPr="00827666">
        <w:tab/>
        <w:t>Application of Criminal Code</w:t>
      </w:r>
      <w:bookmarkEnd w:id="15"/>
    </w:p>
    <w:p w:rsidR="007003A0" w:rsidRPr="00827666" w:rsidRDefault="007003A0" w:rsidP="007003A0">
      <w:pPr>
        <w:pStyle w:val="Sectiontext"/>
        <w:keepNext/>
      </w:pPr>
      <w:r w:rsidRPr="00827666">
        <w:t xml:space="preserve">Part </w:t>
      </w:r>
      <w:proofErr w:type="spellStart"/>
      <w:r w:rsidRPr="00827666">
        <w:t>IIAA</w:t>
      </w:r>
      <w:proofErr w:type="spellEnd"/>
      <w:r w:rsidRPr="00827666">
        <w:t xml:space="preserve"> of the Criminal Code applies to an offence against this Part.</w:t>
      </w:r>
    </w:p>
    <w:p w:rsidR="007003A0" w:rsidRPr="00827666" w:rsidRDefault="007003A0" w:rsidP="007003A0">
      <w:pPr>
        <w:pStyle w:val="Example"/>
        <w:keepNext/>
      </w:pPr>
      <w:r w:rsidRPr="00827666">
        <w:t>Note for section 124</w:t>
      </w:r>
    </w:p>
    <w:p w:rsidR="007003A0" w:rsidRPr="00827666" w:rsidRDefault="007003A0" w:rsidP="007003A0">
      <w:pPr>
        <w:pStyle w:val="Example"/>
        <w:spacing w:after="240"/>
      </w:pPr>
      <w:r w:rsidRPr="00827666">
        <w:t>Part </w:t>
      </w:r>
      <w:proofErr w:type="spellStart"/>
      <w:r w:rsidRPr="00827666">
        <w:t>IIAA</w:t>
      </w:r>
      <w:proofErr w:type="spellEnd"/>
      <w:r w:rsidRPr="00827666">
        <w:t xml:space="preserve"> of the Criminal Code states the general principles of criminal responsibility, establishes general defences, and deals with burden of proof. It also defines, or elaborates on, certain concepts commonly used in the creation of offences.</w:t>
      </w:r>
    </w:p>
    <w:p w:rsidR="00893688" w:rsidRPr="00827666" w:rsidRDefault="00893688" w:rsidP="00893688">
      <w:pPr>
        <w:pStyle w:val="NewSectionHeading"/>
      </w:pPr>
      <w:bookmarkStart w:id="16" w:name="_Toc505240098"/>
      <w:r w:rsidRPr="00827666">
        <w:t>12</w:t>
      </w:r>
      <w:r w:rsidR="00ED6914" w:rsidRPr="00827666">
        <w:t>5</w:t>
      </w:r>
      <w:r w:rsidRPr="00827666">
        <w:tab/>
        <w:t>Application</w:t>
      </w:r>
      <w:r w:rsidR="007003A0" w:rsidRPr="00827666">
        <w:t xml:space="preserve"> of Part</w:t>
      </w:r>
      <w:bookmarkEnd w:id="16"/>
    </w:p>
    <w:p w:rsidR="00893688" w:rsidRPr="00827666" w:rsidRDefault="00893688" w:rsidP="00893688">
      <w:pPr>
        <w:pStyle w:val="Sectiontext"/>
      </w:pPr>
      <w:r w:rsidRPr="00827666">
        <w:t xml:space="preserve">This Part does not apply to a tenancy database kept by an entity (including a department of the government of a State or Territory) for use only by that entity </w:t>
      </w:r>
      <w:r w:rsidR="00EE020D" w:rsidRPr="00827666">
        <w:t xml:space="preserve">or </w:t>
      </w:r>
      <w:r w:rsidRPr="00827666">
        <w:t>its officers, employees or agents.</w:t>
      </w:r>
    </w:p>
    <w:p w:rsidR="00F125F4" w:rsidRPr="00827666" w:rsidRDefault="001324D2" w:rsidP="001324D2">
      <w:pPr>
        <w:pStyle w:val="NewSectionHeading"/>
      </w:pPr>
      <w:bookmarkStart w:id="17" w:name="_Toc505240099"/>
      <w:r w:rsidRPr="00827666">
        <w:t>1</w:t>
      </w:r>
      <w:r w:rsidR="00A00F49" w:rsidRPr="00827666">
        <w:t>2</w:t>
      </w:r>
      <w:r w:rsidR="00ED6914" w:rsidRPr="00827666">
        <w:t>6</w:t>
      </w:r>
      <w:r w:rsidRPr="00827666">
        <w:tab/>
      </w:r>
      <w:r w:rsidR="000C3E91" w:rsidRPr="00827666">
        <w:t>Notice of usual use of database</w:t>
      </w:r>
      <w:bookmarkEnd w:id="17"/>
    </w:p>
    <w:p w:rsidR="002441C1" w:rsidRPr="00827666" w:rsidRDefault="00694BA7" w:rsidP="0017634D">
      <w:pPr>
        <w:pStyle w:val="Subsection"/>
        <w:keepNext/>
      </w:pPr>
      <w:r w:rsidRPr="00827666">
        <w:tab/>
        <w:t>(1)</w:t>
      </w:r>
      <w:r w:rsidRPr="00827666">
        <w:tab/>
      </w:r>
      <w:r w:rsidR="002441C1" w:rsidRPr="00827666">
        <w:t>This section applies if:</w:t>
      </w:r>
    </w:p>
    <w:p w:rsidR="00496EB6" w:rsidRPr="00827666" w:rsidRDefault="002441C1" w:rsidP="002441C1">
      <w:pPr>
        <w:pStyle w:val="Paragraph"/>
      </w:pPr>
      <w:r w:rsidRPr="00827666">
        <w:t>(a)</w:t>
      </w:r>
      <w:r w:rsidRPr="00827666">
        <w:tab/>
      </w:r>
      <w:r w:rsidR="00BB2212" w:rsidRPr="00827666">
        <w:t xml:space="preserve">a person (the </w:t>
      </w:r>
      <w:r w:rsidR="00BB2212" w:rsidRPr="00827666">
        <w:rPr>
          <w:b/>
          <w:i/>
        </w:rPr>
        <w:t>potential tenant</w:t>
      </w:r>
      <w:r w:rsidR="00BB2212" w:rsidRPr="00827666">
        <w:t>) applies to a landlord to enter into a tenancy agreement</w:t>
      </w:r>
      <w:r w:rsidRPr="00827666">
        <w:t>; and</w:t>
      </w:r>
    </w:p>
    <w:p w:rsidR="002441C1" w:rsidRPr="00827666" w:rsidRDefault="002441C1" w:rsidP="002441C1">
      <w:pPr>
        <w:pStyle w:val="Paragraph"/>
      </w:pPr>
      <w:r w:rsidRPr="00827666">
        <w:t>(b)</w:t>
      </w:r>
      <w:r w:rsidRPr="00827666">
        <w:tab/>
      </w:r>
      <w:r w:rsidR="006A14FB" w:rsidRPr="00827666">
        <w:t>the</w:t>
      </w:r>
      <w:r w:rsidR="00BB2212" w:rsidRPr="00827666">
        <w:t xml:space="preserve"> landlord usually uses one or more tenancy databases to decide whether to enter into a tenancy agreement with a person</w:t>
      </w:r>
      <w:r w:rsidRPr="00827666">
        <w:t>.</w:t>
      </w:r>
    </w:p>
    <w:p w:rsidR="00E737BF" w:rsidRPr="00827666" w:rsidRDefault="00235FB8" w:rsidP="00E737BF">
      <w:pPr>
        <w:pStyle w:val="Subsection"/>
        <w:keepNext/>
      </w:pPr>
      <w:r w:rsidRPr="00827666">
        <w:tab/>
        <w:t>(2)</w:t>
      </w:r>
      <w:r w:rsidRPr="00827666">
        <w:tab/>
      </w:r>
      <w:r w:rsidR="007D39FE" w:rsidRPr="00827666">
        <w:t>When the application is made, t</w:t>
      </w:r>
      <w:r w:rsidR="00E858F8" w:rsidRPr="00827666">
        <w:t xml:space="preserve">he </w:t>
      </w:r>
      <w:r w:rsidR="00581049" w:rsidRPr="00827666">
        <w:t xml:space="preserve">landlord must give </w:t>
      </w:r>
      <w:r w:rsidR="00726899" w:rsidRPr="00827666">
        <w:t>the potential tenant</w:t>
      </w:r>
      <w:r w:rsidR="00581049" w:rsidRPr="00827666">
        <w:t xml:space="preserve"> written notice </w:t>
      </w:r>
      <w:r w:rsidR="00A30C03" w:rsidRPr="00827666">
        <w:t>stating</w:t>
      </w:r>
      <w:r w:rsidR="007D39FE" w:rsidRPr="00827666">
        <w:t xml:space="preserve"> the followin</w:t>
      </w:r>
      <w:r w:rsidR="006F1F2D" w:rsidRPr="00827666">
        <w:t>g</w:t>
      </w:r>
      <w:r w:rsidR="001973E9" w:rsidRPr="00827666">
        <w:t>:</w:t>
      </w:r>
    </w:p>
    <w:p w:rsidR="00E737BF" w:rsidRPr="00827666" w:rsidRDefault="00E737BF" w:rsidP="00E737BF">
      <w:pPr>
        <w:pStyle w:val="Paragraph"/>
      </w:pPr>
      <w:r w:rsidRPr="00827666">
        <w:t>(a)</w:t>
      </w:r>
      <w:r w:rsidRPr="00827666">
        <w:tab/>
        <w:t xml:space="preserve">the name of each tenancy database the landlord </w:t>
      </w:r>
      <w:r w:rsidR="00F1768F" w:rsidRPr="00827666">
        <w:t>may use</w:t>
      </w:r>
      <w:r w:rsidRPr="00827666">
        <w:t xml:space="preserve"> to decide whether to enter into a tenancy agreement with a person</w:t>
      </w:r>
      <w:r w:rsidR="00BC308D" w:rsidRPr="00827666">
        <w:t>;</w:t>
      </w:r>
    </w:p>
    <w:p w:rsidR="00C51EB8" w:rsidRPr="00827666" w:rsidRDefault="00C51EB8" w:rsidP="00C51EB8">
      <w:pPr>
        <w:pStyle w:val="Paragraph"/>
      </w:pPr>
      <w:r w:rsidRPr="00827666">
        <w:t>(b)</w:t>
      </w:r>
      <w:r w:rsidRPr="00827666">
        <w:tab/>
        <w:t xml:space="preserve">that </w:t>
      </w:r>
      <w:r w:rsidR="007329EE" w:rsidRPr="00827666">
        <w:t>the landlord uses each</w:t>
      </w:r>
      <w:r w:rsidRPr="00827666">
        <w:t xml:space="preserve"> database to check </w:t>
      </w:r>
      <w:r w:rsidR="002C5A96" w:rsidRPr="00827666">
        <w:t>a potential tenant's</w:t>
      </w:r>
      <w:r w:rsidRPr="00827666">
        <w:t xml:space="preserve"> tenancy history;</w:t>
      </w:r>
    </w:p>
    <w:p w:rsidR="00C51EB8" w:rsidRPr="00827666" w:rsidRDefault="00C51EB8" w:rsidP="00C51EB8">
      <w:pPr>
        <w:pStyle w:val="Paragraph"/>
      </w:pPr>
      <w:r w:rsidRPr="00827666">
        <w:t>(c)</w:t>
      </w:r>
      <w:r w:rsidRPr="00827666">
        <w:tab/>
        <w:t xml:space="preserve">how </w:t>
      </w:r>
      <w:r w:rsidR="00352B36" w:rsidRPr="00827666">
        <w:t xml:space="preserve">the </w:t>
      </w:r>
      <w:r w:rsidR="00B40ACE" w:rsidRPr="00827666">
        <w:t>potential tenant</w:t>
      </w:r>
      <w:r w:rsidRPr="00827666">
        <w:t xml:space="preserve"> may contact and obtain information from the </w:t>
      </w:r>
      <w:r w:rsidR="00352B36" w:rsidRPr="00827666">
        <w:t xml:space="preserve">database </w:t>
      </w:r>
      <w:r w:rsidR="00B40ACE" w:rsidRPr="00827666">
        <w:t>operator for each database</w:t>
      </w:r>
      <w:r w:rsidR="00BC2A7C" w:rsidRPr="00827666">
        <w:t>.</w:t>
      </w:r>
    </w:p>
    <w:p w:rsidR="006927DF" w:rsidRPr="00827666" w:rsidRDefault="00321E70" w:rsidP="006927DF">
      <w:pPr>
        <w:pStyle w:val="Subsection"/>
      </w:pPr>
      <w:r w:rsidRPr="00827666">
        <w:tab/>
        <w:t>(</w:t>
      </w:r>
      <w:r w:rsidR="0006085B" w:rsidRPr="00827666">
        <w:t>3</w:t>
      </w:r>
      <w:r w:rsidR="000B5BAE" w:rsidRPr="00827666">
        <w:t>)</w:t>
      </w:r>
      <w:r w:rsidR="000B5BAE" w:rsidRPr="00827666">
        <w:tab/>
        <w:t>Subsection </w:t>
      </w:r>
      <w:r w:rsidR="00BD49FE" w:rsidRPr="00827666">
        <w:t>(2</w:t>
      </w:r>
      <w:r w:rsidR="006927DF" w:rsidRPr="00827666">
        <w:t xml:space="preserve">) applies </w:t>
      </w:r>
      <w:r w:rsidR="00BD49FE" w:rsidRPr="00827666">
        <w:t xml:space="preserve">in relation to a tenancy database </w:t>
      </w:r>
      <w:r w:rsidR="006927DF" w:rsidRPr="00827666">
        <w:t xml:space="preserve">whether or not the landlord intends to use </w:t>
      </w:r>
      <w:r w:rsidR="00BD49FE" w:rsidRPr="00827666">
        <w:t>the</w:t>
      </w:r>
      <w:r w:rsidR="006927DF" w:rsidRPr="00827666">
        <w:t xml:space="preserve"> database </w:t>
      </w:r>
      <w:r w:rsidR="00352B36" w:rsidRPr="00827666">
        <w:t xml:space="preserve">to decide whether to enter into a tenancy agreement </w:t>
      </w:r>
      <w:r w:rsidR="006927DF" w:rsidRPr="00827666">
        <w:t xml:space="preserve">with the </w:t>
      </w:r>
      <w:r w:rsidR="00CE43BA" w:rsidRPr="00827666">
        <w:t>potential tenant.</w:t>
      </w:r>
    </w:p>
    <w:p w:rsidR="000B6D95" w:rsidRPr="00827666" w:rsidRDefault="00321E70" w:rsidP="00B23828">
      <w:pPr>
        <w:pStyle w:val="Subsection"/>
      </w:pPr>
      <w:r w:rsidRPr="00827666">
        <w:tab/>
        <w:t>(</w:t>
      </w:r>
      <w:r w:rsidR="0006085B" w:rsidRPr="00827666">
        <w:t>4</w:t>
      </w:r>
      <w:r w:rsidR="000B6D95" w:rsidRPr="00827666">
        <w:t>)</w:t>
      </w:r>
      <w:r w:rsidR="000B6D95" w:rsidRPr="00827666">
        <w:tab/>
        <w:t xml:space="preserve">However, </w:t>
      </w:r>
      <w:r w:rsidR="00C7776B" w:rsidRPr="00827666">
        <w:t xml:space="preserve">the landlord </w:t>
      </w:r>
      <w:r w:rsidR="00296D1B" w:rsidRPr="00827666">
        <w:t xml:space="preserve">need not </w:t>
      </w:r>
      <w:r w:rsidR="002F4194" w:rsidRPr="00827666">
        <w:t>give</w:t>
      </w:r>
      <w:r w:rsidR="002263FF" w:rsidRPr="00827666">
        <w:t xml:space="preserve"> </w:t>
      </w:r>
      <w:r w:rsidR="00C7776B" w:rsidRPr="00827666">
        <w:t xml:space="preserve">notice under </w:t>
      </w:r>
      <w:r w:rsidR="005F548E" w:rsidRPr="00827666">
        <w:t>subsection </w:t>
      </w:r>
      <w:r w:rsidR="0091209E" w:rsidRPr="00827666">
        <w:t>(2</w:t>
      </w:r>
      <w:r w:rsidR="007657C1" w:rsidRPr="00827666">
        <w:t xml:space="preserve">) if the landlord </w:t>
      </w:r>
      <w:r w:rsidR="00EA16FC" w:rsidRPr="00827666">
        <w:t>has given</w:t>
      </w:r>
      <w:r w:rsidR="001F42A8" w:rsidRPr="00827666">
        <w:t xml:space="preserve"> </w:t>
      </w:r>
      <w:r w:rsidR="00AA7E81" w:rsidRPr="00827666">
        <w:t xml:space="preserve">the potential tenant </w:t>
      </w:r>
      <w:r w:rsidR="00DD1A8D" w:rsidRPr="00827666">
        <w:t>written notice</w:t>
      </w:r>
      <w:r w:rsidR="00BD49FE" w:rsidRPr="00827666">
        <w:t xml:space="preserve"> stating</w:t>
      </w:r>
      <w:r w:rsidR="00C7776B" w:rsidRPr="00827666">
        <w:t xml:space="preserve"> the matters mentioned in </w:t>
      </w:r>
      <w:r w:rsidR="0091209E" w:rsidRPr="00827666">
        <w:t xml:space="preserve">the subsection </w:t>
      </w:r>
      <w:r w:rsidR="007657C1" w:rsidRPr="00827666">
        <w:t>not</w:t>
      </w:r>
      <w:r w:rsidR="003A3364" w:rsidRPr="00827666">
        <w:t xml:space="preserve"> more than 7 </w:t>
      </w:r>
      <w:r w:rsidR="000B6D95" w:rsidRPr="00827666">
        <w:t xml:space="preserve">days </w:t>
      </w:r>
      <w:r w:rsidR="00E7530E" w:rsidRPr="00827666">
        <w:t>be</w:t>
      </w:r>
      <w:r w:rsidR="002263FF" w:rsidRPr="00827666">
        <w:t xml:space="preserve">fore the </w:t>
      </w:r>
      <w:r w:rsidR="002263FF" w:rsidRPr="00827666">
        <w:lastRenderedPageBreak/>
        <w:t>application was</w:t>
      </w:r>
      <w:r w:rsidR="00E7530E" w:rsidRPr="00827666">
        <w:t xml:space="preserve"> made.</w:t>
      </w:r>
    </w:p>
    <w:p w:rsidR="0006085B" w:rsidRPr="00827666" w:rsidRDefault="0006085B" w:rsidP="00B23828">
      <w:pPr>
        <w:pStyle w:val="Subsection"/>
        <w:keepNext/>
        <w:keepLines/>
      </w:pPr>
      <w:r w:rsidRPr="00827666">
        <w:tab/>
        <w:t>(5)</w:t>
      </w:r>
      <w:r w:rsidRPr="00827666">
        <w:tab/>
        <w:t>A landlord com</w:t>
      </w:r>
      <w:r w:rsidR="00A85844" w:rsidRPr="00827666">
        <w:t xml:space="preserve">mits an offence if the landlord </w:t>
      </w:r>
      <w:r w:rsidRPr="00827666">
        <w:t xml:space="preserve">fails to give notice </w:t>
      </w:r>
      <w:r w:rsidR="00F3416F" w:rsidRPr="00827666">
        <w:t>in accordance with</w:t>
      </w:r>
      <w:r w:rsidR="00A85844" w:rsidRPr="00827666">
        <w:t xml:space="preserve"> this section.</w:t>
      </w:r>
    </w:p>
    <w:p w:rsidR="0006085B" w:rsidRPr="00827666" w:rsidRDefault="0006085B" w:rsidP="0006085B">
      <w:pPr>
        <w:pStyle w:val="Paragraph"/>
      </w:pPr>
      <w:r w:rsidRPr="00827666">
        <w:t>Maximum penalty:</w:t>
      </w:r>
      <w:r w:rsidRPr="00827666">
        <w:tab/>
        <w:t>20 penalty units.</w:t>
      </w:r>
    </w:p>
    <w:p w:rsidR="0006085B" w:rsidRPr="00827666" w:rsidRDefault="0006085B" w:rsidP="0006085B">
      <w:pPr>
        <w:pStyle w:val="Subsection"/>
        <w:keepNext/>
      </w:pPr>
      <w:r w:rsidRPr="00827666">
        <w:tab/>
        <w:t>(6)</w:t>
      </w:r>
      <w:r w:rsidRPr="00827666">
        <w:tab/>
        <w:t>An offence against subsection (</w:t>
      </w:r>
      <w:r w:rsidR="00AC2E01" w:rsidRPr="00827666">
        <w:t>5</w:t>
      </w:r>
      <w:r w:rsidRPr="00827666">
        <w:t>) is an offence of strict liability.</w:t>
      </w:r>
    </w:p>
    <w:p w:rsidR="000B6163" w:rsidRPr="00827666" w:rsidRDefault="000B6163" w:rsidP="00C7776B">
      <w:pPr>
        <w:pStyle w:val="NewSectionHeading"/>
      </w:pPr>
      <w:bookmarkStart w:id="18" w:name="_Toc505240100"/>
      <w:r w:rsidRPr="00827666">
        <w:t>1</w:t>
      </w:r>
      <w:r w:rsidR="009463AE" w:rsidRPr="00827666">
        <w:t>2</w:t>
      </w:r>
      <w:r w:rsidR="00ED6914" w:rsidRPr="00827666">
        <w:t>7</w:t>
      </w:r>
      <w:r w:rsidRPr="00827666">
        <w:tab/>
      </w:r>
      <w:r w:rsidR="009D6549" w:rsidRPr="00827666">
        <w:t>Notice of listing if database used</w:t>
      </w:r>
      <w:bookmarkEnd w:id="18"/>
    </w:p>
    <w:p w:rsidR="007F3629" w:rsidRPr="00827666" w:rsidRDefault="000A2762" w:rsidP="004513BE">
      <w:pPr>
        <w:pStyle w:val="Subsection"/>
      </w:pPr>
      <w:r w:rsidRPr="00827666">
        <w:tab/>
        <w:t>(1)</w:t>
      </w:r>
      <w:r w:rsidRPr="00827666">
        <w:tab/>
      </w:r>
      <w:r w:rsidR="007F3629" w:rsidRPr="00827666">
        <w:t>This section applies if:</w:t>
      </w:r>
    </w:p>
    <w:p w:rsidR="00B248B0" w:rsidRPr="00827666" w:rsidRDefault="00B248B0" w:rsidP="00B248B0">
      <w:pPr>
        <w:pStyle w:val="Paragraph"/>
      </w:pPr>
      <w:r w:rsidRPr="00827666">
        <w:t>(a)</w:t>
      </w:r>
      <w:r w:rsidRPr="00827666">
        <w:tab/>
      </w:r>
      <w:r w:rsidR="007F3629" w:rsidRPr="00827666">
        <w:t>a</w:t>
      </w:r>
      <w:r w:rsidRPr="00827666">
        <w:t xml:space="preserve"> landlord uses </w:t>
      </w:r>
      <w:r w:rsidR="007F3629" w:rsidRPr="00827666">
        <w:t>a tenancy</w:t>
      </w:r>
      <w:r w:rsidRPr="00827666">
        <w:t xml:space="preserve"> database to check whether personal information about </w:t>
      </w:r>
      <w:r w:rsidR="007F3629" w:rsidRPr="00827666">
        <w:t>a</w:t>
      </w:r>
      <w:r w:rsidRPr="00827666">
        <w:t xml:space="preserve"> potential tenant is in the database; and</w:t>
      </w:r>
    </w:p>
    <w:p w:rsidR="0078632D" w:rsidRPr="00827666" w:rsidRDefault="00B248B0" w:rsidP="00B248B0">
      <w:pPr>
        <w:pStyle w:val="Paragraph"/>
      </w:pPr>
      <w:r w:rsidRPr="00827666">
        <w:t>(b)</w:t>
      </w:r>
      <w:r w:rsidRPr="00827666">
        <w:tab/>
      </w:r>
      <w:r w:rsidR="0078632D" w:rsidRPr="00827666">
        <w:t xml:space="preserve">personal information about the </w:t>
      </w:r>
      <w:r w:rsidR="000F54EC" w:rsidRPr="00827666">
        <w:t>potential tenant</w:t>
      </w:r>
      <w:r w:rsidR="0078632D" w:rsidRPr="00827666">
        <w:t xml:space="preserve"> is in the database.</w:t>
      </w:r>
    </w:p>
    <w:p w:rsidR="00FB3843" w:rsidRPr="00827666" w:rsidRDefault="005A307B" w:rsidP="00EC22BE">
      <w:pPr>
        <w:pStyle w:val="Subsection"/>
      </w:pPr>
      <w:r w:rsidRPr="00827666">
        <w:tab/>
        <w:t>(2)</w:t>
      </w:r>
      <w:r w:rsidRPr="00827666">
        <w:tab/>
      </w:r>
      <w:r w:rsidR="00FE72A7" w:rsidRPr="00827666">
        <w:t>As soon as possible but within 7 days after using the tenancy database, t</w:t>
      </w:r>
      <w:r w:rsidR="00B066B3" w:rsidRPr="00827666">
        <w:t xml:space="preserve">he </w:t>
      </w:r>
      <w:r w:rsidR="007F3629" w:rsidRPr="00827666">
        <w:t xml:space="preserve">landlord must give </w:t>
      </w:r>
      <w:r w:rsidR="00DE180C" w:rsidRPr="00827666">
        <w:t xml:space="preserve">the potential tenant </w:t>
      </w:r>
      <w:r w:rsidR="007F3629" w:rsidRPr="00827666">
        <w:t xml:space="preserve">written notice </w:t>
      </w:r>
      <w:r w:rsidR="006550A3" w:rsidRPr="00827666">
        <w:t>stating</w:t>
      </w:r>
      <w:r w:rsidR="007F3629" w:rsidRPr="00827666">
        <w:t xml:space="preserve"> the following:</w:t>
      </w:r>
    </w:p>
    <w:p w:rsidR="005A307B" w:rsidRPr="00827666" w:rsidRDefault="00EE6610" w:rsidP="00EC22BE">
      <w:pPr>
        <w:pStyle w:val="Paragraph"/>
      </w:pPr>
      <w:r w:rsidRPr="00827666">
        <w:t>(</w:t>
      </w:r>
      <w:r w:rsidR="00EC22BE" w:rsidRPr="00827666">
        <w:t>a</w:t>
      </w:r>
      <w:r w:rsidR="005A307B" w:rsidRPr="00827666">
        <w:t>)</w:t>
      </w:r>
      <w:r w:rsidR="005A307B" w:rsidRPr="00827666">
        <w:tab/>
        <w:t>the name of the database;</w:t>
      </w:r>
    </w:p>
    <w:p w:rsidR="005A307B" w:rsidRPr="00827666" w:rsidRDefault="00EE6610" w:rsidP="00EC22BE">
      <w:pPr>
        <w:pStyle w:val="Paragraph"/>
      </w:pPr>
      <w:r w:rsidRPr="00827666">
        <w:t>(</w:t>
      </w:r>
      <w:r w:rsidR="00EC22BE" w:rsidRPr="00827666">
        <w:t>b</w:t>
      </w:r>
      <w:r w:rsidR="005A307B" w:rsidRPr="00827666">
        <w:t>)</w:t>
      </w:r>
      <w:r w:rsidR="005A307B" w:rsidRPr="00827666">
        <w:tab/>
        <w:t xml:space="preserve">that personal information about the </w:t>
      </w:r>
      <w:r w:rsidR="001075C1" w:rsidRPr="00827666">
        <w:t>potential tenant</w:t>
      </w:r>
      <w:r w:rsidR="005A307B" w:rsidRPr="00827666">
        <w:t xml:space="preserve"> is in the database;</w:t>
      </w:r>
    </w:p>
    <w:p w:rsidR="005A307B" w:rsidRPr="00827666" w:rsidRDefault="00EE6610" w:rsidP="00C93297">
      <w:pPr>
        <w:pStyle w:val="Paragraph"/>
      </w:pPr>
      <w:r w:rsidRPr="00827666">
        <w:t>(</w:t>
      </w:r>
      <w:r w:rsidR="00EC22BE" w:rsidRPr="00827666">
        <w:t>c</w:t>
      </w:r>
      <w:r w:rsidR="005A307B" w:rsidRPr="00827666">
        <w:t>)</w:t>
      </w:r>
      <w:r w:rsidR="005A307B" w:rsidRPr="00827666">
        <w:tab/>
        <w:t>the name of each person</w:t>
      </w:r>
      <w:r w:rsidR="00C93297" w:rsidRPr="00827666">
        <w:t xml:space="preserve"> </w:t>
      </w:r>
      <w:r w:rsidR="00660CDF" w:rsidRPr="00827666">
        <w:t xml:space="preserve">identified in the </w:t>
      </w:r>
      <w:r w:rsidR="00920E83" w:rsidRPr="00827666">
        <w:t xml:space="preserve">database as </w:t>
      </w:r>
      <w:r w:rsidR="008C7F15" w:rsidRPr="00827666">
        <w:t>a</w:t>
      </w:r>
      <w:r w:rsidR="00DC0952" w:rsidRPr="00827666">
        <w:t xml:space="preserve"> person who</w:t>
      </w:r>
      <w:r w:rsidR="007146B9" w:rsidRPr="00827666">
        <w:t xml:space="preserve"> listed the </w:t>
      </w:r>
      <w:r w:rsidR="00660CDF" w:rsidRPr="00827666">
        <w:t>personal information</w:t>
      </w:r>
      <w:r w:rsidR="00920E83" w:rsidRPr="00827666">
        <w:t>;</w:t>
      </w:r>
    </w:p>
    <w:p w:rsidR="005A307B" w:rsidRPr="00827666" w:rsidRDefault="00EE6610" w:rsidP="00EC22BE">
      <w:pPr>
        <w:pStyle w:val="Paragraph"/>
      </w:pPr>
      <w:r w:rsidRPr="00827666">
        <w:t>(</w:t>
      </w:r>
      <w:r w:rsidR="00EC22BE" w:rsidRPr="00827666">
        <w:t>d</w:t>
      </w:r>
      <w:r w:rsidR="005A307B" w:rsidRPr="00827666">
        <w:t>)</w:t>
      </w:r>
      <w:r w:rsidR="005A307B" w:rsidRPr="00827666">
        <w:tab/>
        <w:t xml:space="preserve">how and in what circumstances the </w:t>
      </w:r>
      <w:r w:rsidR="0072226F" w:rsidRPr="00827666">
        <w:t>potential tenant</w:t>
      </w:r>
      <w:r w:rsidR="005A307B" w:rsidRPr="00827666">
        <w:t xml:space="preserve"> can have the personal information </w:t>
      </w:r>
      <w:r w:rsidR="00BA6853" w:rsidRPr="00827666">
        <w:t>amended or removed</w:t>
      </w:r>
      <w:r w:rsidR="005A307B" w:rsidRPr="00827666">
        <w:t xml:space="preserve"> under this </w:t>
      </w:r>
      <w:r w:rsidR="00197019" w:rsidRPr="00827666">
        <w:t>Part.</w:t>
      </w:r>
    </w:p>
    <w:p w:rsidR="008C30D0" w:rsidRPr="00827666" w:rsidRDefault="008C30D0" w:rsidP="00113E87">
      <w:pPr>
        <w:pStyle w:val="Subsection"/>
      </w:pPr>
      <w:r w:rsidRPr="00827666">
        <w:tab/>
        <w:t>(3)</w:t>
      </w:r>
      <w:r w:rsidRPr="00827666">
        <w:tab/>
      </w:r>
      <w:r w:rsidR="00113E87" w:rsidRPr="00827666">
        <w:t>A landlord commits an offenc</w:t>
      </w:r>
      <w:r w:rsidR="00A476E8" w:rsidRPr="00827666">
        <w:t>e if the landlord fails to give</w:t>
      </w:r>
      <w:r w:rsidR="00411972" w:rsidRPr="00827666">
        <w:t xml:space="preserve"> </w:t>
      </w:r>
      <w:r w:rsidR="00113E87" w:rsidRPr="00827666">
        <w:t xml:space="preserve">notice </w:t>
      </w:r>
      <w:r w:rsidR="00F3416F" w:rsidRPr="00827666">
        <w:t>in accordance with</w:t>
      </w:r>
      <w:r w:rsidR="00113E87" w:rsidRPr="00827666">
        <w:t xml:space="preserve"> this section.</w:t>
      </w:r>
    </w:p>
    <w:p w:rsidR="00F51875" w:rsidRPr="00827666" w:rsidRDefault="00F51875" w:rsidP="005A307B">
      <w:pPr>
        <w:pStyle w:val="Paragraph"/>
      </w:pPr>
      <w:r w:rsidRPr="00827666">
        <w:t>Maximum penalty:</w:t>
      </w:r>
      <w:r w:rsidRPr="00827666">
        <w:tab/>
        <w:t>20 penalty units.</w:t>
      </w:r>
    </w:p>
    <w:p w:rsidR="00F51875" w:rsidRPr="00827666" w:rsidRDefault="00926FFC" w:rsidP="00F51875">
      <w:pPr>
        <w:pStyle w:val="Subsection"/>
      </w:pPr>
      <w:r w:rsidRPr="00827666">
        <w:tab/>
        <w:t>(</w:t>
      </w:r>
      <w:r w:rsidR="008C30D0" w:rsidRPr="00827666">
        <w:t>4</w:t>
      </w:r>
      <w:r w:rsidRPr="00827666">
        <w:t>)</w:t>
      </w:r>
      <w:r w:rsidRPr="00827666">
        <w:tab/>
        <w:t>An offence against subsection </w:t>
      </w:r>
      <w:r w:rsidR="00F51875" w:rsidRPr="00827666">
        <w:t>(</w:t>
      </w:r>
      <w:r w:rsidR="008C30D0" w:rsidRPr="00827666">
        <w:t>3</w:t>
      </w:r>
      <w:r w:rsidR="00F51875" w:rsidRPr="00827666">
        <w:t>) is an offence of strict liability.</w:t>
      </w:r>
    </w:p>
    <w:p w:rsidR="00C2040E" w:rsidRPr="00827666" w:rsidRDefault="00C2040E" w:rsidP="00F51875">
      <w:pPr>
        <w:pStyle w:val="Subsection"/>
      </w:pPr>
      <w:r w:rsidRPr="00827666">
        <w:tab/>
        <w:t>(5)</w:t>
      </w:r>
      <w:r w:rsidRPr="00827666">
        <w:tab/>
        <w:t>In this section:</w:t>
      </w:r>
    </w:p>
    <w:p w:rsidR="00C2040E" w:rsidRPr="00827666" w:rsidRDefault="00C2040E" w:rsidP="00C2040E">
      <w:pPr>
        <w:pStyle w:val="Definition"/>
      </w:pPr>
      <w:r w:rsidRPr="00827666">
        <w:rPr>
          <w:b/>
          <w:i/>
        </w:rPr>
        <w:t>potential tenant</w:t>
      </w:r>
      <w:r w:rsidRPr="00827666">
        <w:t>, see section 126.</w:t>
      </w:r>
    </w:p>
    <w:p w:rsidR="000B6163" w:rsidRPr="00827666" w:rsidRDefault="00677E6E" w:rsidP="008C30D0">
      <w:pPr>
        <w:pStyle w:val="NewSectionHeading"/>
      </w:pPr>
      <w:bookmarkStart w:id="19" w:name="_Toc505240101"/>
      <w:r w:rsidRPr="00827666">
        <w:t>12</w:t>
      </w:r>
      <w:r w:rsidR="00A659C2" w:rsidRPr="00827666">
        <w:t>8</w:t>
      </w:r>
      <w:r w:rsidR="000B6163" w:rsidRPr="00827666">
        <w:tab/>
        <w:t>Listing can be made only for particular breaches by particular persons</w:t>
      </w:r>
      <w:bookmarkEnd w:id="19"/>
    </w:p>
    <w:p w:rsidR="0006085B" w:rsidRPr="00827666" w:rsidRDefault="005D7711" w:rsidP="005D7711">
      <w:pPr>
        <w:pStyle w:val="Subsection"/>
      </w:pPr>
      <w:r w:rsidRPr="00827666">
        <w:tab/>
        <w:t>(1)</w:t>
      </w:r>
      <w:r w:rsidRPr="00827666">
        <w:tab/>
        <w:t>A landlord</w:t>
      </w:r>
      <w:r w:rsidR="00667BEF" w:rsidRPr="00827666">
        <w:t xml:space="preserve"> or</w:t>
      </w:r>
      <w:r w:rsidRPr="00827666">
        <w:t xml:space="preserve"> database operator </w:t>
      </w:r>
      <w:r w:rsidR="0006085B" w:rsidRPr="00827666">
        <w:t>must not list personal information about a person in a tenancy database unless:</w:t>
      </w:r>
    </w:p>
    <w:p w:rsidR="0006085B" w:rsidRPr="00827666" w:rsidRDefault="0006085B" w:rsidP="0006085B">
      <w:pPr>
        <w:pStyle w:val="Paragraph"/>
      </w:pPr>
      <w:r w:rsidRPr="00827666">
        <w:lastRenderedPageBreak/>
        <w:t>(a)</w:t>
      </w:r>
      <w:r w:rsidRPr="00827666">
        <w:tab/>
        <w:t>the person was named as a tenant in a tenancy agreement that has ended; and</w:t>
      </w:r>
    </w:p>
    <w:p w:rsidR="0006085B" w:rsidRPr="00827666" w:rsidRDefault="0006085B" w:rsidP="0006085B">
      <w:pPr>
        <w:pStyle w:val="Paragraph"/>
      </w:pPr>
      <w:r w:rsidRPr="00827666">
        <w:t>(b)</w:t>
      </w:r>
      <w:r w:rsidRPr="00827666">
        <w:tab/>
        <w:t>the person breached the tenancy agreement; and</w:t>
      </w:r>
    </w:p>
    <w:p w:rsidR="0006085B" w:rsidRPr="00827666" w:rsidRDefault="0006085B" w:rsidP="0006085B">
      <w:pPr>
        <w:pStyle w:val="Paragraph"/>
      </w:pPr>
      <w:r w:rsidRPr="00827666">
        <w:t>(c)</w:t>
      </w:r>
      <w:r w:rsidRPr="00827666">
        <w:tab/>
        <w:t>because of the breach:</w:t>
      </w:r>
    </w:p>
    <w:p w:rsidR="0006085B" w:rsidRPr="00827666" w:rsidRDefault="0006085B" w:rsidP="0006085B">
      <w:pPr>
        <w:pStyle w:val="Subpara"/>
      </w:pPr>
      <w:r w:rsidRPr="00827666">
        <w:t>(</w:t>
      </w:r>
      <w:proofErr w:type="spellStart"/>
      <w:r w:rsidRPr="00827666">
        <w:t>i</w:t>
      </w:r>
      <w:proofErr w:type="spellEnd"/>
      <w:r w:rsidRPr="00827666">
        <w:t>)</w:t>
      </w:r>
      <w:r w:rsidRPr="00827666">
        <w:tab/>
        <w:t>the person owes the landlord an amount that is more than the security deposit; or</w:t>
      </w:r>
    </w:p>
    <w:p w:rsidR="0006085B" w:rsidRPr="00827666" w:rsidRDefault="0006085B" w:rsidP="0006085B">
      <w:pPr>
        <w:pStyle w:val="Subpara"/>
      </w:pPr>
      <w:r w:rsidRPr="00827666">
        <w:t>(ii)</w:t>
      </w:r>
      <w:r w:rsidRPr="00827666">
        <w:tab/>
        <w:t>the Tribunal has made an order terminating the tenancy agreement; and</w:t>
      </w:r>
    </w:p>
    <w:p w:rsidR="0006085B" w:rsidRPr="00827666" w:rsidRDefault="0006085B" w:rsidP="0006085B">
      <w:pPr>
        <w:pStyle w:val="Paragraph"/>
      </w:pPr>
      <w:r w:rsidRPr="00827666">
        <w:t>(d)</w:t>
      </w:r>
      <w:r w:rsidRPr="00827666">
        <w:tab/>
        <w:t>the personal information:</w:t>
      </w:r>
    </w:p>
    <w:p w:rsidR="0006085B" w:rsidRPr="00827666" w:rsidRDefault="0006085B" w:rsidP="0006085B">
      <w:pPr>
        <w:pStyle w:val="Subpara"/>
      </w:pPr>
      <w:r w:rsidRPr="00827666">
        <w:t>(</w:t>
      </w:r>
      <w:proofErr w:type="spellStart"/>
      <w:r w:rsidRPr="00827666">
        <w:t>i</w:t>
      </w:r>
      <w:proofErr w:type="spellEnd"/>
      <w:r w:rsidRPr="00827666">
        <w:t>)</w:t>
      </w:r>
      <w:r w:rsidRPr="00827666">
        <w:tab/>
        <w:t>relates only to the breach; and</w:t>
      </w:r>
    </w:p>
    <w:p w:rsidR="0083614C" w:rsidRPr="00827666" w:rsidRDefault="0083614C" w:rsidP="0006085B">
      <w:pPr>
        <w:pStyle w:val="Subpara"/>
      </w:pPr>
      <w:r w:rsidRPr="00827666">
        <w:t>(ii)</w:t>
      </w:r>
      <w:r w:rsidRPr="00827666">
        <w:tab/>
        <w:t>indicates the nature of the breach; and</w:t>
      </w:r>
    </w:p>
    <w:p w:rsidR="00484D0E" w:rsidRPr="00827666" w:rsidRDefault="0006085B" w:rsidP="0006085B">
      <w:pPr>
        <w:pStyle w:val="Subpara"/>
      </w:pPr>
      <w:r w:rsidRPr="00827666">
        <w:t>(ii</w:t>
      </w:r>
      <w:r w:rsidR="0083614C" w:rsidRPr="00827666">
        <w:t>i</w:t>
      </w:r>
      <w:r w:rsidRPr="00827666">
        <w:t>)</w:t>
      </w:r>
      <w:r w:rsidRPr="00827666">
        <w:tab/>
        <w:t>is accurate, complete and unambiguous.</w:t>
      </w:r>
    </w:p>
    <w:p w:rsidR="00484D0E" w:rsidRPr="00827666" w:rsidRDefault="00484D0E" w:rsidP="00484D0E">
      <w:pPr>
        <w:pStyle w:val="Example"/>
      </w:pPr>
      <w:r w:rsidRPr="00827666">
        <w:t xml:space="preserve">Examples </w:t>
      </w:r>
      <w:r w:rsidR="009F528A" w:rsidRPr="00827666">
        <w:t xml:space="preserve">for </w:t>
      </w:r>
      <w:r w:rsidR="00615F49">
        <w:t>subsection (1)</w:t>
      </w:r>
      <w:r w:rsidR="009F528A" w:rsidRPr="00827666">
        <w:t>(d)(ii)</w:t>
      </w:r>
    </w:p>
    <w:p w:rsidR="009A7A72" w:rsidRPr="00827666" w:rsidRDefault="009A7A72" w:rsidP="00484D0E">
      <w:pPr>
        <w:pStyle w:val="Example"/>
      </w:pPr>
      <w:r w:rsidRPr="00827666">
        <w:t>Personal information in a tenancy database indicates the nature of the breach if it includes a reference to the following:</w:t>
      </w:r>
    </w:p>
    <w:p w:rsidR="00484D0E" w:rsidRPr="00827666" w:rsidRDefault="00484D0E" w:rsidP="00484D0E">
      <w:pPr>
        <w:pStyle w:val="Example"/>
        <w:ind w:left="1820" w:hanging="720"/>
      </w:pPr>
      <w:r w:rsidRPr="00827666">
        <w:t>(a)</w:t>
      </w:r>
      <w:r w:rsidRPr="00827666">
        <w:tab/>
      </w:r>
      <w:r w:rsidR="009A6B12">
        <w:t>"</w:t>
      </w:r>
      <w:r w:rsidR="001D3DB4" w:rsidRPr="00827666">
        <w:t>rent arrears</w:t>
      </w:r>
      <w:r w:rsidR="009A6B12">
        <w:t>"</w:t>
      </w:r>
      <w:r w:rsidR="009A7A72" w:rsidRPr="00827666">
        <w:t xml:space="preserve"> – for a </w:t>
      </w:r>
      <w:r w:rsidRPr="00827666">
        <w:t>person who has breached a tenancy agreement by failing to pay rent;</w:t>
      </w:r>
    </w:p>
    <w:p w:rsidR="00484D0E" w:rsidRPr="00827666" w:rsidRDefault="00484D0E" w:rsidP="0021792F">
      <w:pPr>
        <w:pStyle w:val="Example"/>
        <w:spacing w:after="240"/>
        <w:ind w:left="1820" w:hanging="720"/>
      </w:pPr>
      <w:r w:rsidRPr="00827666">
        <w:t>(b)</w:t>
      </w:r>
      <w:r w:rsidRPr="00827666">
        <w:tab/>
      </w:r>
      <w:r w:rsidR="009A6B12">
        <w:t>"</w:t>
      </w:r>
      <w:r w:rsidR="001D3DB4" w:rsidRPr="00827666">
        <w:t>damage to premises</w:t>
      </w:r>
      <w:r w:rsidR="009A6B12">
        <w:t>"</w:t>
      </w:r>
      <w:r w:rsidR="00D22FA5" w:rsidRPr="00827666">
        <w:t xml:space="preserve"> – for a person </w:t>
      </w:r>
      <w:r w:rsidRPr="00827666">
        <w:t>who has breached a tenancy agreement by damaging premises.</w:t>
      </w:r>
    </w:p>
    <w:p w:rsidR="000F085E" w:rsidRPr="00827666" w:rsidRDefault="00A85F14" w:rsidP="009F09B0">
      <w:pPr>
        <w:pStyle w:val="Subsection"/>
      </w:pPr>
      <w:r w:rsidRPr="00827666">
        <w:tab/>
        <w:t>(2</w:t>
      </w:r>
      <w:r w:rsidR="00484D0E" w:rsidRPr="00827666">
        <w:t>)</w:t>
      </w:r>
      <w:r w:rsidR="00484D0E" w:rsidRPr="00827666">
        <w:tab/>
      </w:r>
      <w:r w:rsidR="000F085E" w:rsidRPr="00827666">
        <w:t>A person commits an offence if the person:</w:t>
      </w:r>
    </w:p>
    <w:p w:rsidR="000F085E" w:rsidRPr="00827666" w:rsidRDefault="000F085E" w:rsidP="000F085E">
      <w:pPr>
        <w:pStyle w:val="Paragraph"/>
      </w:pPr>
      <w:r w:rsidRPr="00827666">
        <w:t>(a)</w:t>
      </w:r>
      <w:r w:rsidRPr="00827666">
        <w:tab/>
        <w:t>is a landlord or database operator; and</w:t>
      </w:r>
    </w:p>
    <w:p w:rsidR="005D7711" w:rsidRPr="00827666" w:rsidRDefault="000F085E" w:rsidP="000F085E">
      <w:pPr>
        <w:pStyle w:val="Paragraph"/>
      </w:pPr>
      <w:r w:rsidRPr="00827666">
        <w:t>(b)</w:t>
      </w:r>
      <w:r w:rsidRPr="00827666">
        <w:tab/>
      </w:r>
      <w:r w:rsidR="009F09B0" w:rsidRPr="00827666">
        <w:t xml:space="preserve">lists personal information </w:t>
      </w:r>
      <w:r w:rsidR="00484D0E" w:rsidRPr="00827666">
        <w:t>about a person in a tenancy database</w:t>
      </w:r>
      <w:r w:rsidR="009F09B0" w:rsidRPr="00827666">
        <w:t xml:space="preserve"> other than in accordance with subsection (1).</w:t>
      </w:r>
    </w:p>
    <w:p w:rsidR="009712EA" w:rsidRPr="00827666" w:rsidRDefault="009712EA" w:rsidP="009712EA">
      <w:pPr>
        <w:pStyle w:val="Paragraph"/>
      </w:pPr>
      <w:r w:rsidRPr="00827666">
        <w:t>Maximum penalty</w:t>
      </w:r>
      <w:r w:rsidR="005C1C02" w:rsidRPr="00827666">
        <w:t>:</w:t>
      </w:r>
      <w:r w:rsidRPr="00827666">
        <w:tab/>
        <w:t>20 penalty units.</w:t>
      </w:r>
    </w:p>
    <w:p w:rsidR="00AF252E" w:rsidRPr="00827666" w:rsidRDefault="00AF252E" w:rsidP="00AF252E">
      <w:pPr>
        <w:pStyle w:val="Subsection"/>
      </w:pPr>
      <w:r w:rsidRPr="00827666">
        <w:tab/>
        <w:t>(</w:t>
      </w:r>
      <w:r w:rsidR="00282E93" w:rsidRPr="00827666">
        <w:t>3</w:t>
      </w:r>
      <w:r w:rsidRPr="00827666">
        <w:t>)</w:t>
      </w:r>
      <w:r w:rsidRPr="00827666">
        <w:tab/>
        <w:t>An offence against subsection</w:t>
      </w:r>
      <w:r w:rsidR="009F09B0" w:rsidRPr="00827666">
        <w:t> </w:t>
      </w:r>
      <w:r w:rsidRPr="00827666">
        <w:t>(</w:t>
      </w:r>
      <w:r w:rsidR="00282E93" w:rsidRPr="00827666">
        <w:t xml:space="preserve">2) </w:t>
      </w:r>
      <w:r w:rsidRPr="00827666">
        <w:t>is an offence of strict liability.</w:t>
      </w:r>
    </w:p>
    <w:p w:rsidR="000B6163" w:rsidRPr="00827666" w:rsidRDefault="00677E6E" w:rsidP="009F09B0">
      <w:pPr>
        <w:pStyle w:val="NewSectionHeading"/>
      </w:pPr>
      <w:bookmarkStart w:id="20" w:name="_Toc505240102"/>
      <w:r w:rsidRPr="00827666">
        <w:t>12</w:t>
      </w:r>
      <w:r w:rsidR="00A659C2" w:rsidRPr="00827666">
        <w:t>9</w:t>
      </w:r>
      <w:r w:rsidR="00287A6E" w:rsidRPr="00827666">
        <w:tab/>
        <w:t>Further restriction on listing</w:t>
      </w:r>
      <w:bookmarkEnd w:id="20"/>
    </w:p>
    <w:p w:rsidR="00BE216C" w:rsidRPr="00827666" w:rsidRDefault="00B1353F" w:rsidP="005C1C02">
      <w:pPr>
        <w:pStyle w:val="Subsection"/>
      </w:pPr>
      <w:r w:rsidRPr="00827666">
        <w:tab/>
      </w:r>
      <w:r w:rsidR="00BE216C" w:rsidRPr="00827666">
        <w:t>(1)</w:t>
      </w:r>
      <w:r w:rsidR="00BE216C" w:rsidRPr="00827666">
        <w:tab/>
        <w:t xml:space="preserve">A landlord or database operator </w:t>
      </w:r>
      <w:r w:rsidR="005C1C02" w:rsidRPr="00827666">
        <w:t xml:space="preserve">must not </w:t>
      </w:r>
      <w:r w:rsidR="00BE216C" w:rsidRPr="00827666">
        <w:t>list personal information about a person in a tenancy database</w:t>
      </w:r>
      <w:r w:rsidR="005C1C02" w:rsidRPr="00827666">
        <w:t xml:space="preserve"> unless the landlord or database operator:</w:t>
      </w:r>
    </w:p>
    <w:p w:rsidR="00BE216C" w:rsidRPr="00827666" w:rsidRDefault="00BE216C" w:rsidP="00BE216C">
      <w:pPr>
        <w:pStyle w:val="Paragraph"/>
      </w:pPr>
      <w:r w:rsidRPr="00827666">
        <w:t>(</w:t>
      </w:r>
      <w:r w:rsidR="005C1C02" w:rsidRPr="00827666">
        <w:t>a</w:t>
      </w:r>
      <w:r w:rsidRPr="00827666">
        <w:t>)</w:t>
      </w:r>
      <w:r w:rsidRPr="00827666">
        <w:tab/>
      </w:r>
      <w:r w:rsidR="005C1C02" w:rsidRPr="00827666">
        <w:t xml:space="preserve">has, </w:t>
      </w:r>
      <w:r w:rsidR="00373851" w:rsidRPr="00827666">
        <w:t>without charging a fee</w:t>
      </w:r>
      <w:r w:rsidRPr="00827666">
        <w:t>:</w:t>
      </w:r>
    </w:p>
    <w:p w:rsidR="00BE216C" w:rsidRPr="00827666" w:rsidRDefault="00BE216C" w:rsidP="00BE216C">
      <w:pPr>
        <w:pStyle w:val="Subpara"/>
      </w:pPr>
      <w:r w:rsidRPr="00827666">
        <w:t>(</w:t>
      </w:r>
      <w:proofErr w:type="spellStart"/>
      <w:r w:rsidRPr="00827666">
        <w:t>i</w:t>
      </w:r>
      <w:proofErr w:type="spellEnd"/>
      <w:r w:rsidRPr="00827666">
        <w:t>)</w:t>
      </w:r>
      <w:r w:rsidRPr="00827666">
        <w:tab/>
      </w:r>
      <w:r w:rsidR="005C1C02" w:rsidRPr="00827666">
        <w:t>given</w:t>
      </w:r>
      <w:r w:rsidRPr="00827666">
        <w:t xml:space="preserve"> the person a copy of the personal information; or</w:t>
      </w:r>
    </w:p>
    <w:p w:rsidR="00BE216C" w:rsidRPr="00827666" w:rsidRDefault="00BE216C" w:rsidP="00BE216C">
      <w:pPr>
        <w:pStyle w:val="Subpara"/>
      </w:pPr>
      <w:r w:rsidRPr="00827666">
        <w:t>(ii)</w:t>
      </w:r>
      <w:r w:rsidRPr="00827666">
        <w:tab/>
      </w:r>
      <w:r w:rsidR="005C1C02" w:rsidRPr="00827666">
        <w:t>taken</w:t>
      </w:r>
      <w:r w:rsidRPr="00827666">
        <w:t xml:space="preserve"> other reasonable steps to disclose the personal </w:t>
      </w:r>
      <w:r w:rsidRPr="00827666">
        <w:lastRenderedPageBreak/>
        <w:t>information to the person; and</w:t>
      </w:r>
    </w:p>
    <w:p w:rsidR="00BE216C" w:rsidRPr="00827666" w:rsidRDefault="00BE216C" w:rsidP="00B23828">
      <w:pPr>
        <w:pStyle w:val="Paragraph"/>
        <w:keepLines/>
      </w:pPr>
      <w:r w:rsidRPr="00827666">
        <w:t>(</w:t>
      </w:r>
      <w:r w:rsidR="005C1C02" w:rsidRPr="00827666">
        <w:t>b</w:t>
      </w:r>
      <w:r w:rsidRPr="00827666">
        <w:t>)</w:t>
      </w:r>
      <w:r w:rsidRPr="00827666">
        <w:tab/>
      </w:r>
      <w:r w:rsidR="005C1C02" w:rsidRPr="00827666">
        <w:t>has given</w:t>
      </w:r>
      <w:r w:rsidRPr="00827666">
        <w:t xml:space="preserve"> the person at least 14 days to review the personal i</w:t>
      </w:r>
      <w:r w:rsidR="0044731D" w:rsidRPr="00827666">
        <w:t xml:space="preserve">nformation and make submissions </w:t>
      </w:r>
      <w:r w:rsidRPr="00827666">
        <w:t>objecting to</w:t>
      </w:r>
      <w:r w:rsidR="0044731D" w:rsidRPr="00827666">
        <w:t xml:space="preserve"> its entry into the database or </w:t>
      </w:r>
      <w:r w:rsidRPr="00827666">
        <w:t xml:space="preserve">about its accuracy, completeness </w:t>
      </w:r>
      <w:r w:rsidR="00A04CE8" w:rsidRPr="00827666">
        <w:t>or</w:t>
      </w:r>
      <w:r w:rsidRPr="00827666">
        <w:t xml:space="preserve"> clarity; and</w:t>
      </w:r>
    </w:p>
    <w:p w:rsidR="00BE216C" w:rsidRPr="00827666" w:rsidRDefault="00BE216C" w:rsidP="00BE216C">
      <w:pPr>
        <w:pStyle w:val="Paragraph"/>
      </w:pPr>
      <w:r w:rsidRPr="00827666">
        <w:t>(</w:t>
      </w:r>
      <w:r w:rsidR="00D46886" w:rsidRPr="00827666">
        <w:t>c</w:t>
      </w:r>
      <w:r w:rsidRPr="00827666">
        <w:t>)</w:t>
      </w:r>
      <w:r w:rsidRPr="00827666">
        <w:tab/>
      </w:r>
      <w:r w:rsidR="005C1C02" w:rsidRPr="00827666">
        <w:t>has considered any submissions made.</w:t>
      </w:r>
    </w:p>
    <w:p w:rsidR="009E4C60" w:rsidRPr="00827666" w:rsidRDefault="00D62012" w:rsidP="009E4C60">
      <w:pPr>
        <w:pStyle w:val="Subsection"/>
      </w:pPr>
      <w:r w:rsidRPr="00827666">
        <w:tab/>
        <w:t>(</w:t>
      </w:r>
      <w:r w:rsidR="00D46886" w:rsidRPr="00827666">
        <w:t>2</w:t>
      </w:r>
      <w:r w:rsidR="009E4C60" w:rsidRPr="00827666">
        <w:t>)</w:t>
      </w:r>
      <w:r w:rsidR="009E4C60" w:rsidRPr="00827666">
        <w:tab/>
        <w:t>Subsection (1) does not apply if the landlord or database operator cannot locate the person after making reasonable enquiries.</w:t>
      </w:r>
    </w:p>
    <w:p w:rsidR="009E4C60" w:rsidRPr="00827666" w:rsidRDefault="009E4C60" w:rsidP="009E4C60">
      <w:pPr>
        <w:pStyle w:val="Subsection"/>
      </w:pPr>
      <w:r w:rsidRPr="00827666">
        <w:tab/>
      </w:r>
      <w:r w:rsidR="00D62012" w:rsidRPr="00827666">
        <w:t>(</w:t>
      </w:r>
      <w:r w:rsidR="00D46886" w:rsidRPr="00827666">
        <w:t>3</w:t>
      </w:r>
      <w:r w:rsidRPr="00827666">
        <w:t>)</w:t>
      </w:r>
      <w:r w:rsidRPr="00827666">
        <w:tab/>
        <w:t>Subsection (1)(</w:t>
      </w:r>
      <w:r w:rsidR="00D46886" w:rsidRPr="00827666">
        <w:t>b</w:t>
      </w:r>
      <w:r w:rsidRPr="00827666">
        <w:t>) and</w:t>
      </w:r>
      <w:r w:rsidR="00626E5E" w:rsidRPr="00827666">
        <w:t> </w:t>
      </w:r>
      <w:r w:rsidRPr="00827666">
        <w:t>(</w:t>
      </w:r>
      <w:r w:rsidR="00D46886" w:rsidRPr="00827666">
        <w:t>c</w:t>
      </w:r>
      <w:r w:rsidRPr="00827666">
        <w:t>) do not apply:</w:t>
      </w:r>
    </w:p>
    <w:p w:rsidR="009E4C60" w:rsidRPr="00827666" w:rsidRDefault="009E4C60" w:rsidP="009E4C60">
      <w:pPr>
        <w:pStyle w:val="Paragraph"/>
      </w:pPr>
      <w:r w:rsidRPr="00827666">
        <w:t>(a)</w:t>
      </w:r>
      <w:r w:rsidRPr="00827666">
        <w:tab/>
        <w:t xml:space="preserve">to information that, at the time of listing, is </w:t>
      </w:r>
      <w:r w:rsidR="00503FD1" w:rsidRPr="00827666">
        <w:t xml:space="preserve">also </w:t>
      </w:r>
      <w:r w:rsidRPr="00827666">
        <w:t xml:space="preserve">publicly available </w:t>
      </w:r>
      <w:r w:rsidR="00503FD1" w:rsidRPr="00827666">
        <w:t xml:space="preserve">from </w:t>
      </w:r>
      <w:r w:rsidR="00992F02" w:rsidRPr="00827666">
        <w:t>court or T</w:t>
      </w:r>
      <w:r w:rsidRPr="00827666">
        <w:t>ribunal records; or</w:t>
      </w:r>
    </w:p>
    <w:p w:rsidR="009E4C60" w:rsidRPr="00827666" w:rsidRDefault="009E4C60" w:rsidP="004F72E4">
      <w:pPr>
        <w:pStyle w:val="Paragraph"/>
        <w:keepNext/>
      </w:pPr>
      <w:r w:rsidRPr="00827666">
        <w:t>(b)</w:t>
      </w:r>
      <w:r w:rsidRPr="00827666">
        <w:tab/>
        <w:t>to a listing involving only an amendment of personal information</w:t>
      </w:r>
      <w:r w:rsidR="001A4817" w:rsidRPr="00827666">
        <w:t xml:space="preserve"> under section 130</w:t>
      </w:r>
      <w:r w:rsidRPr="00827666">
        <w:t>.</w:t>
      </w:r>
    </w:p>
    <w:p w:rsidR="00360522" w:rsidRPr="00827666" w:rsidRDefault="00503FD1" w:rsidP="00150F4B">
      <w:pPr>
        <w:pStyle w:val="Subsection"/>
      </w:pPr>
      <w:r w:rsidRPr="00827666">
        <w:tab/>
        <w:t>(4)</w:t>
      </w:r>
      <w:r w:rsidRPr="00827666">
        <w:tab/>
        <w:t xml:space="preserve">A </w:t>
      </w:r>
      <w:r w:rsidR="00360522" w:rsidRPr="00827666">
        <w:t>person commits an offence if the person:</w:t>
      </w:r>
    </w:p>
    <w:p w:rsidR="00360522" w:rsidRPr="00827666" w:rsidRDefault="00360522" w:rsidP="00360522">
      <w:pPr>
        <w:pStyle w:val="Paragraph"/>
      </w:pPr>
      <w:r w:rsidRPr="00827666">
        <w:t>(a)</w:t>
      </w:r>
      <w:r w:rsidRPr="00827666">
        <w:tab/>
        <w:t>is a landlord or database operator; and</w:t>
      </w:r>
    </w:p>
    <w:p w:rsidR="00042580" w:rsidRPr="00827666" w:rsidRDefault="00360522" w:rsidP="00360522">
      <w:pPr>
        <w:pStyle w:val="Paragraph"/>
      </w:pPr>
      <w:r w:rsidRPr="00827666">
        <w:t>(b)</w:t>
      </w:r>
      <w:r w:rsidRPr="00827666">
        <w:tab/>
        <w:t xml:space="preserve">lists </w:t>
      </w:r>
      <w:r w:rsidR="00042580" w:rsidRPr="00827666">
        <w:t xml:space="preserve">personal information about a person in a tenancy database other than in accordance with </w:t>
      </w:r>
      <w:r w:rsidR="00150F4B" w:rsidRPr="00827666">
        <w:t>this section.</w:t>
      </w:r>
    </w:p>
    <w:p w:rsidR="00503FD1" w:rsidRPr="00827666" w:rsidRDefault="00503FD1" w:rsidP="00503FD1">
      <w:pPr>
        <w:pStyle w:val="Paragraph"/>
      </w:pPr>
      <w:r w:rsidRPr="00827666">
        <w:t>Maximum penalty:</w:t>
      </w:r>
      <w:r w:rsidRPr="00827666">
        <w:tab/>
        <w:t>20 penalty units.</w:t>
      </w:r>
    </w:p>
    <w:p w:rsidR="00503FD1" w:rsidRPr="00827666" w:rsidRDefault="00503FD1" w:rsidP="00503FD1">
      <w:pPr>
        <w:pStyle w:val="Subsection"/>
      </w:pPr>
      <w:r w:rsidRPr="00827666">
        <w:tab/>
        <w:t>(</w:t>
      </w:r>
      <w:r w:rsidR="00360522" w:rsidRPr="00827666">
        <w:t>5</w:t>
      </w:r>
      <w:r w:rsidRPr="00827666">
        <w:t>)</w:t>
      </w:r>
      <w:r w:rsidR="00360522" w:rsidRPr="00827666">
        <w:tab/>
        <w:t>An offence against subsection </w:t>
      </w:r>
      <w:r w:rsidR="00C83D38" w:rsidRPr="00827666">
        <w:t>(4</w:t>
      </w:r>
      <w:r w:rsidR="005F33F5" w:rsidRPr="00827666">
        <w:t>)</w:t>
      </w:r>
      <w:r w:rsidR="001B1526" w:rsidRPr="00827666">
        <w:t xml:space="preserve"> </w:t>
      </w:r>
      <w:r w:rsidRPr="00827666">
        <w:t>is an offence of strict liability.</w:t>
      </w:r>
    </w:p>
    <w:p w:rsidR="00D62012" w:rsidRPr="00827666" w:rsidRDefault="001003BA" w:rsidP="00C55D48">
      <w:pPr>
        <w:pStyle w:val="NewSectionHeading"/>
      </w:pPr>
      <w:bookmarkStart w:id="21" w:name="_Toc505240103"/>
      <w:r w:rsidRPr="00827666">
        <w:t>1</w:t>
      </w:r>
      <w:r w:rsidR="00C10346" w:rsidRPr="00827666">
        <w:t>30</w:t>
      </w:r>
      <w:r w:rsidR="008F45E9" w:rsidRPr="00827666">
        <w:tab/>
        <w:t>Ensuring quality of listing – landlord's obligation</w:t>
      </w:r>
      <w:bookmarkEnd w:id="21"/>
    </w:p>
    <w:p w:rsidR="00CC34D4" w:rsidRPr="00827666" w:rsidRDefault="00093326" w:rsidP="008F45E9">
      <w:pPr>
        <w:pStyle w:val="Subsection"/>
      </w:pPr>
      <w:r w:rsidRPr="00827666">
        <w:tab/>
        <w:t>(1</w:t>
      </w:r>
      <w:r w:rsidR="008F45E9" w:rsidRPr="00827666">
        <w:t>)</w:t>
      </w:r>
      <w:r w:rsidR="008F45E9" w:rsidRPr="00827666">
        <w:tab/>
      </w:r>
      <w:r w:rsidR="00CC34D4" w:rsidRPr="00827666">
        <w:t>This section applies if a landlord becomes aware that personal information listed in a tenancy database by the landlord is inaccurate, incomplete, ambiguous or out</w:t>
      </w:r>
      <w:r w:rsidR="00CC34D4" w:rsidRPr="00827666">
        <w:noBreakHyphen/>
        <w:t>of</w:t>
      </w:r>
      <w:r w:rsidR="00CC34D4" w:rsidRPr="00827666">
        <w:noBreakHyphen/>
        <w:t>date.</w:t>
      </w:r>
    </w:p>
    <w:p w:rsidR="008F45E9" w:rsidRPr="00827666" w:rsidRDefault="00B513A7" w:rsidP="008F45E9">
      <w:pPr>
        <w:pStyle w:val="Subsection"/>
      </w:pPr>
      <w:r w:rsidRPr="00827666">
        <w:tab/>
        <w:t>(2)</w:t>
      </w:r>
      <w:r w:rsidRPr="00827666">
        <w:tab/>
      </w:r>
      <w:r w:rsidR="00C717E4" w:rsidRPr="00827666">
        <w:t>Within 7 days after becoming aware</w:t>
      </w:r>
      <w:r w:rsidR="00CC0DB5" w:rsidRPr="00827666">
        <w:t xml:space="preserve"> that the information is inaccurate, incomplete, ambiguous or out</w:t>
      </w:r>
      <w:r w:rsidR="00CC0DB5" w:rsidRPr="00827666">
        <w:noBreakHyphen/>
        <w:t>of</w:t>
      </w:r>
      <w:r w:rsidR="00CC0DB5" w:rsidRPr="00827666">
        <w:noBreakHyphen/>
        <w:t>date</w:t>
      </w:r>
      <w:r w:rsidR="00C717E4" w:rsidRPr="00827666">
        <w:t>, t</w:t>
      </w:r>
      <w:r w:rsidRPr="00827666">
        <w:t xml:space="preserve">he </w:t>
      </w:r>
      <w:r w:rsidR="00CC34D4" w:rsidRPr="00827666">
        <w:t xml:space="preserve">landlord must give the database operator </w:t>
      </w:r>
      <w:r w:rsidR="00DD3884" w:rsidRPr="00827666">
        <w:t xml:space="preserve">of the </w:t>
      </w:r>
      <w:r w:rsidR="00A174D5" w:rsidRPr="00827666">
        <w:t xml:space="preserve">tenancy </w:t>
      </w:r>
      <w:r w:rsidR="007029B2" w:rsidRPr="00827666">
        <w:t>database</w:t>
      </w:r>
      <w:r w:rsidR="00CC34D4" w:rsidRPr="00827666">
        <w:t xml:space="preserve"> written notice </w:t>
      </w:r>
      <w:r w:rsidR="002E5427" w:rsidRPr="00827666">
        <w:t>stating</w:t>
      </w:r>
      <w:r w:rsidR="00CC34D4" w:rsidRPr="00827666">
        <w:t xml:space="preserve"> the following:</w:t>
      </w:r>
    </w:p>
    <w:p w:rsidR="008F45E9" w:rsidRPr="00827666" w:rsidRDefault="008F45E9" w:rsidP="00276827">
      <w:pPr>
        <w:pStyle w:val="Paragraph"/>
      </w:pPr>
      <w:r w:rsidRPr="00827666">
        <w:t>(a)</w:t>
      </w:r>
      <w:r w:rsidRPr="00827666">
        <w:tab/>
        <w:t>that the information is inaccurate, incomplete</w:t>
      </w:r>
      <w:r w:rsidR="00000DAD" w:rsidRPr="00827666">
        <w:t xml:space="preserve">, </w:t>
      </w:r>
      <w:r w:rsidRPr="00827666">
        <w:t>ambiguous</w:t>
      </w:r>
      <w:r w:rsidR="00DE4115" w:rsidRPr="00827666">
        <w:t xml:space="preserve"> </w:t>
      </w:r>
      <w:r w:rsidR="000633F6" w:rsidRPr="00827666">
        <w:t>or out</w:t>
      </w:r>
      <w:r w:rsidR="000633F6" w:rsidRPr="00827666">
        <w:noBreakHyphen/>
        <w:t>of</w:t>
      </w:r>
      <w:r w:rsidR="000633F6" w:rsidRPr="00827666">
        <w:noBreakHyphen/>
      </w:r>
      <w:r w:rsidR="00276827" w:rsidRPr="00827666">
        <w:t>date</w:t>
      </w:r>
      <w:r w:rsidRPr="00827666">
        <w:t>;</w:t>
      </w:r>
    </w:p>
    <w:p w:rsidR="00000DAD" w:rsidRPr="00827666" w:rsidRDefault="00276827" w:rsidP="00276827">
      <w:pPr>
        <w:pStyle w:val="Paragraph"/>
      </w:pPr>
      <w:r w:rsidRPr="00827666">
        <w:t>(b)</w:t>
      </w:r>
      <w:r w:rsidRPr="00827666">
        <w:tab/>
      </w:r>
      <w:r w:rsidR="00000DAD" w:rsidRPr="00827666">
        <w:t>if the information is inaccurate, incomplete or ambiguous – </w:t>
      </w:r>
      <w:r w:rsidR="008F45E9" w:rsidRPr="00827666">
        <w:t>how the information must be amended so that it is no longer inaccurate, incomplete</w:t>
      </w:r>
      <w:r w:rsidR="00000DAD" w:rsidRPr="00827666">
        <w:t xml:space="preserve"> or ambiguous;</w:t>
      </w:r>
    </w:p>
    <w:p w:rsidR="00DE195F" w:rsidRPr="00827666" w:rsidRDefault="000633F6" w:rsidP="00B23828">
      <w:pPr>
        <w:pStyle w:val="Paragraph"/>
        <w:keepNext/>
        <w:keepLines/>
      </w:pPr>
      <w:r w:rsidRPr="00827666">
        <w:lastRenderedPageBreak/>
        <w:t>(c)</w:t>
      </w:r>
      <w:r w:rsidRPr="00827666">
        <w:tab/>
        <w:t>if the information is out</w:t>
      </w:r>
      <w:r w:rsidRPr="00827666">
        <w:noBreakHyphen/>
        <w:t>of</w:t>
      </w:r>
      <w:r w:rsidRPr="00827666">
        <w:noBreakHyphen/>
      </w:r>
      <w:r w:rsidR="00000DAD" w:rsidRPr="00827666">
        <w:t>date – that the information must be removed.</w:t>
      </w:r>
    </w:p>
    <w:p w:rsidR="00417CCD" w:rsidRPr="00827666" w:rsidRDefault="00417CCD" w:rsidP="00857E80">
      <w:pPr>
        <w:pStyle w:val="Example"/>
        <w:keepNext/>
      </w:pPr>
      <w:r w:rsidRPr="00827666">
        <w:t>Example for subsection (2</w:t>
      </w:r>
      <w:r w:rsidR="00EB539F" w:rsidRPr="00827666">
        <w:t>)</w:t>
      </w:r>
    </w:p>
    <w:p w:rsidR="001722B6" w:rsidRPr="00827666" w:rsidRDefault="008B6B5B" w:rsidP="00B23828">
      <w:pPr>
        <w:pStyle w:val="Example"/>
      </w:pPr>
      <w:r w:rsidRPr="00827666">
        <w:t>A tenant owes a</w:t>
      </w:r>
      <w:r w:rsidR="00735E82" w:rsidRPr="00827666">
        <w:t xml:space="preserve"> landlord an amount that is more than the security deposit. The landlord lists the unpaid amount in a tenancy database. The tenant pays the landlord the amount owed </w:t>
      </w:r>
      <w:r w:rsidR="00625EA2" w:rsidRPr="00827666">
        <w:t>more than 3 </w:t>
      </w:r>
      <w:r w:rsidR="00735E82" w:rsidRPr="00827666">
        <w:t xml:space="preserve">months after </w:t>
      </w:r>
      <w:r w:rsidR="00625EA2" w:rsidRPr="00827666">
        <w:t xml:space="preserve">it </w:t>
      </w:r>
      <w:r w:rsidR="00FB4DE7" w:rsidRPr="00827666">
        <w:t>became payable</w:t>
      </w:r>
      <w:r w:rsidR="00FC0FCE" w:rsidRPr="00827666">
        <w:t>. Within 7 days after</w:t>
      </w:r>
      <w:r w:rsidR="00735E82" w:rsidRPr="00827666">
        <w:t xml:space="preserve"> becoming aware of the payment, the landlord </w:t>
      </w:r>
      <w:r w:rsidR="00A177F6" w:rsidRPr="00827666">
        <w:t>must give the database operator</w:t>
      </w:r>
      <w:r w:rsidR="00E66ADA" w:rsidRPr="00827666">
        <w:t xml:space="preserve"> </w:t>
      </w:r>
      <w:r w:rsidR="00735E82" w:rsidRPr="00827666">
        <w:t>written n</w:t>
      </w:r>
      <w:r w:rsidR="00E13D43" w:rsidRPr="00827666">
        <w:t>otice s</w:t>
      </w:r>
      <w:r w:rsidR="00AF6739" w:rsidRPr="00827666">
        <w:t>tating</w:t>
      </w:r>
      <w:r w:rsidR="00E13D43" w:rsidRPr="00827666">
        <w:t>:</w:t>
      </w:r>
    </w:p>
    <w:p w:rsidR="001722B6" w:rsidRPr="00827666" w:rsidRDefault="001722B6" w:rsidP="00857E80">
      <w:pPr>
        <w:pStyle w:val="Example"/>
        <w:keepNext/>
        <w:ind w:left="1667" w:hanging="567"/>
      </w:pPr>
      <w:r w:rsidRPr="00827666">
        <w:t>(a)</w:t>
      </w:r>
      <w:r w:rsidRPr="00827666">
        <w:tab/>
        <w:t>th</w:t>
      </w:r>
      <w:r w:rsidR="00E13D43" w:rsidRPr="00827666">
        <w:t>at the</w:t>
      </w:r>
      <w:r w:rsidRPr="00827666">
        <w:t xml:space="preserve"> personal information </w:t>
      </w:r>
      <w:r w:rsidR="00E13D43" w:rsidRPr="00827666">
        <w:t xml:space="preserve">is </w:t>
      </w:r>
      <w:r w:rsidRPr="00827666">
        <w:t>inaccurate; and</w:t>
      </w:r>
    </w:p>
    <w:p w:rsidR="001722B6" w:rsidRPr="00827666" w:rsidRDefault="001722B6" w:rsidP="001722B6">
      <w:pPr>
        <w:pStyle w:val="Example"/>
        <w:spacing w:after="240"/>
        <w:ind w:left="1667" w:hanging="567"/>
      </w:pPr>
      <w:r w:rsidRPr="00827666">
        <w:t>(b)</w:t>
      </w:r>
      <w:r w:rsidRPr="00827666">
        <w:tab/>
      </w:r>
      <w:r w:rsidR="006C552C" w:rsidRPr="00827666">
        <w:t xml:space="preserve">the </w:t>
      </w:r>
      <w:r w:rsidRPr="00827666">
        <w:t>details of the payment to be included in the personal information so that it is no longer inaccurate.</w:t>
      </w:r>
    </w:p>
    <w:p w:rsidR="00DE195F" w:rsidRPr="00827666" w:rsidRDefault="00DE195F" w:rsidP="00DE195F">
      <w:pPr>
        <w:pStyle w:val="Subsection"/>
      </w:pPr>
      <w:r w:rsidRPr="00827666">
        <w:tab/>
        <w:t>(3)</w:t>
      </w:r>
      <w:r w:rsidRPr="00827666">
        <w:tab/>
        <w:t xml:space="preserve">The landlord must keep a copy of the notice for </w:t>
      </w:r>
      <w:r w:rsidR="001B41BB" w:rsidRPr="00827666">
        <w:t>1</w:t>
      </w:r>
      <w:r w:rsidRPr="00827666">
        <w:t xml:space="preserve"> year after </w:t>
      </w:r>
      <w:r w:rsidR="00E4361B" w:rsidRPr="00827666">
        <w:t>it is given.</w:t>
      </w:r>
    </w:p>
    <w:p w:rsidR="00D75085" w:rsidRPr="00827666" w:rsidRDefault="00A80F5B" w:rsidP="0048140B">
      <w:pPr>
        <w:pStyle w:val="Subsection"/>
        <w:keepNext/>
      </w:pPr>
      <w:r w:rsidRPr="00827666">
        <w:tab/>
        <w:t>(4)</w:t>
      </w:r>
      <w:r w:rsidRPr="00827666">
        <w:tab/>
        <w:t>In this section:</w:t>
      </w:r>
    </w:p>
    <w:p w:rsidR="006B0BBD" w:rsidRPr="00827666" w:rsidRDefault="00576C79" w:rsidP="00B82FFD">
      <w:pPr>
        <w:pStyle w:val="Definition"/>
      </w:pPr>
      <w:r w:rsidRPr="00827666">
        <w:rPr>
          <w:b/>
          <w:i/>
        </w:rPr>
        <w:t>inaccurate</w:t>
      </w:r>
      <w:r w:rsidRPr="00827666">
        <w:t xml:space="preserve">, in relation to personal information in a tenancy database, includes </w:t>
      </w:r>
      <w:r w:rsidR="006B5F74" w:rsidRPr="00827666">
        <w:t>information that is inaccurate because it</w:t>
      </w:r>
      <w:r w:rsidR="0048140B" w:rsidRPr="00827666">
        <w:t xml:space="preserve"> </w:t>
      </w:r>
      <w:r w:rsidR="00ED1BBE" w:rsidRPr="00827666">
        <w:t>shows</w:t>
      </w:r>
      <w:r w:rsidR="00605C49" w:rsidRPr="00827666">
        <w:t xml:space="preserve"> </w:t>
      </w:r>
      <w:r w:rsidR="00BB2A26" w:rsidRPr="00827666">
        <w:t xml:space="preserve">that </w:t>
      </w:r>
      <w:r w:rsidR="00605C49" w:rsidRPr="00827666">
        <w:t xml:space="preserve">the </w:t>
      </w:r>
      <w:r w:rsidR="008B659C" w:rsidRPr="00827666">
        <w:t>person</w:t>
      </w:r>
      <w:r w:rsidR="00605C49" w:rsidRPr="00827666">
        <w:t xml:space="preserve"> owes </w:t>
      </w:r>
      <w:r w:rsidR="00750395" w:rsidRPr="00827666">
        <w:t xml:space="preserve">a landlord </w:t>
      </w:r>
      <w:r w:rsidR="00605C49" w:rsidRPr="00827666">
        <w:t>an amount</w:t>
      </w:r>
      <w:r w:rsidR="00B82FFD" w:rsidRPr="00827666">
        <w:t xml:space="preserve">, but the amount owed was </w:t>
      </w:r>
      <w:r w:rsidR="006B0BBD" w:rsidRPr="00827666">
        <w:t xml:space="preserve">paid more than 3 months after </w:t>
      </w:r>
      <w:r w:rsidR="00B3796F" w:rsidRPr="00827666">
        <w:t>the amount became payable</w:t>
      </w:r>
      <w:r w:rsidR="00060F59" w:rsidRPr="00827666">
        <w:t>.</w:t>
      </w:r>
    </w:p>
    <w:p w:rsidR="00A80F5B" w:rsidRPr="00827666" w:rsidRDefault="00374121" w:rsidP="00A80F5B">
      <w:pPr>
        <w:pStyle w:val="Definition"/>
        <w:keepNext/>
      </w:pPr>
      <w:r w:rsidRPr="00827666">
        <w:rPr>
          <w:b/>
          <w:i/>
        </w:rPr>
        <w:t>out</w:t>
      </w:r>
      <w:r w:rsidRPr="00827666">
        <w:noBreakHyphen/>
      </w:r>
      <w:r w:rsidRPr="00827666">
        <w:rPr>
          <w:b/>
          <w:i/>
        </w:rPr>
        <w:t>of</w:t>
      </w:r>
      <w:r w:rsidRPr="00827666">
        <w:noBreakHyphen/>
      </w:r>
      <w:r w:rsidR="00A80F5B" w:rsidRPr="00827666">
        <w:rPr>
          <w:b/>
          <w:i/>
        </w:rPr>
        <w:t>date</w:t>
      </w:r>
      <w:r w:rsidR="00A80F5B" w:rsidRPr="00827666">
        <w:t>, in relation to personal information in a tenancy database, means</w:t>
      </w:r>
      <w:r w:rsidR="00890967" w:rsidRPr="00827666">
        <w:t xml:space="preserve"> the information is out</w:t>
      </w:r>
      <w:r w:rsidR="00890967" w:rsidRPr="00827666">
        <w:noBreakHyphen/>
        <w:t>of</w:t>
      </w:r>
      <w:r w:rsidR="00890967" w:rsidRPr="00827666">
        <w:noBreakHyphen/>
      </w:r>
      <w:r w:rsidR="00091B60" w:rsidRPr="00827666">
        <w:t>date because</w:t>
      </w:r>
      <w:r w:rsidR="00B3796F" w:rsidRPr="00827666">
        <w:t>:</w:t>
      </w:r>
    </w:p>
    <w:p w:rsidR="00A80F5B" w:rsidRPr="00827666" w:rsidRDefault="00A80F5B" w:rsidP="00A80F5B">
      <w:pPr>
        <w:pStyle w:val="Paragraph"/>
      </w:pPr>
      <w:r w:rsidRPr="00827666">
        <w:t>(a)</w:t>
      </w:r>
      <w:r w:rsidRPr="00827666">
        <w:tab/>
      </w:r>
      <w:r w:rsidR="00581BE2" w:rsidRPr="00827666">
        <w:t>it</w:t>
      </w:r>
      <w:r w:rsidR="00B3796F" w:rsidRPr="00827666">
        <w:t xml:space="preserve"> </w:t>
      </w:r>
      <w:r w:rsidR="00147D45" w:rsidRPr="00827666">
        <w:t>shows</w:t>
      </w:r>
      <w:r w:rsidR="00750395" w:rsidRPr="00827666">
        <w:t xml:space="preserve"> that the</w:t>
      </w:r>
      <w:r w:rsidR="00B3796F" w:rsidRPr="00827666">
        <w:t xml:space="preserve"> </w:t>
      </w:r>
      <w:r w:rsidR="008B659C" w:rsidRPr="00827666">
        <w:t>person</w:t>
      </w:r>
      <w:r w:rsidR="00750395" w:rsidRPr="00827666">
        <w:t xml:space="preserve"> owes a landlord an amount, but the amount owed was paid to the landlord </w:t>
      </w:r>
      <w:r w:rsidRPr="00827666">
        <w:t xml:space="preserve">within 3 months after the amount became </w:t>
      </w:r>
      <w:r w:rsidR="00750395" w:rsidRPr="00827666">
        <w:t>payable; or</w:t>
      </w:r>
    </w:p>
    <w:p w:rsidR="00A80F5B" w:rsidRPr="00827666" w:rsidRDefault="00A80F5B" w:rsidP="004863EB">
      <w:pPr>
        <w:pStyle w:val="Paragraph"/>
      </w:pPr>
      <w:r w:rsidRPr="00827666">
        <w:t>(b)</w:t>
      </w:r>
      <w:r w:rsidRPr="00827666">
        <w:tab/>
      </w:r>
      <w:r w:rsidR="00581BE2" w:rsidRPr="00827666">
        <w:t>it</w:t>
      </w:r>
      <w:r w:rsidR="004A4FC6" w:rsidRPr="00827666">
        <w:t xml:space="preserve"> was</w:t>
      </w:r>
      <w:r w:rsidR="00750395" w:rsidRPr="00827666">
        <w:t xml:space="preserve"> listed </w:t>
      </w:r>
      <w:r w:rsidR="004A4FC6" w:rsidRPr="00827666">
        <w:t xml:space="preserve">in accordance with section 128(1)(c)(ii), </w:t>
      </w:r>
      <w:r w:rsidR="00750395" w:rsidRPr="00827666">
        <w:t xml:space="preserve">but </w:t>
      </w:r>
      <w:r w:rsidRPr="00827666">
        <w:t xml:space="preserve">the order </w:t>
      </w:r>
      <w:r w:rsidR="00B87628" w:rsidRPr="00827666">
        <w:t>was</w:t>
      </w:r>
      <w:r w:rsidRPr="00827666">
        <w:t xml:space="preserve"> </w:t>
      </w:r>
      <w:r w:rsidR="00A44140" w:rsidRPr="00827666">
        <w:t>set aside</w:t>
      </w:r>
      <w:r w:rsidRPr="00827666">
        <w:t xml:space="preserve"> </w:t>
      </w:r>
      <w:r w:rsidR="0046699E" w:rsidRPr="00827666">
        <w:t>by a court or the Tribunal.</w:t>
      </w:r>
    </w:p>
    <w:p w:rsidR="00F87D2E" w:rsidRPr="00827666" w:rsidRDefault="001003BA" w:rsidP="00287A6E">
      <w:pPr>
        <w:pStyle w:val="NewSectionHeading"/>
      </w:pPr>
      <w:bookmarkStart w:id="22" w:name="_Toc505240104"/>
      <w:r w:rsidRPr="00827666">
        <w:t>13</w:t>
      </w:r>
      <w:r w:rsidR="00C10346" w:rsidRPr="00827666">
        <w:t>1</w:t>
      </w:r>
      <w:r w:rsidR="00287A6E" w:rsidRPr="00827666">
        <w:tab/>
      </w:r>
      <w:r w:rsidR="00F87D2E" w:rsidRPr="00827666">
        <w:t>Ensuring quality of listing – database operator's obligation</w:t>
      </w:r>
      <w:bookmarkEnd w:id="22"/>
    </w:p>
    <w:p w:rsidR="00A328DC" w:rsidRPr="00827666" w:rsidRDefault="005367C3" w:rsidP="005367C3">
      <w:pPr>
        <w:pStyle w:val="Sectiontext"/>
      </w:pPr>
      <w:r w:rsidRPr="00827666">
        <w:t xml:space="preserve">If </w:t>
      </w:r>
      <w:r w:rsidR="00313E19" w:rsidRPr="00827666">
        <w:t xml:space="preserve">a landlord gives a </w:t>
      </w:r>
      <w:r w:rsidR="00A8495D" w:rsidRPr="00827666">
        <w:t xml:space="preserve">database operator </w:t>
      </w:r>
      <w:r w:rsidRPr="00827666">
        <w:t>written notice under section 130, the</w:t>
      </w:r>
      <w:r w:rsidR="00A328DC" w:rsidRPr="00827666">
        <w:t xml:space="preserve"> ope</w:t>
      </w:r>
      <w:r w:rsidR="00313E19" w:rsidRPr="00827666">
        <w:t xml:space="preserve">rator must amend </w:t>
      </w:r>
      <w:r w:rsidR="00A328DC" w:rsidRPr="00827666">
        <w:t>or remove the personal information</w:t>
      </w:r>
      <w:r w:rsidR="00313E19" w:rsidRPr="00827666">
        <w:t xml:space="preserve"> as stated in the notice</w:t>
      </w:r>
      <w:r w:rsidR="00A328DC" w:rsidRPr="00827666">
        <w:t xml:space="preserve"> within 14 days after the </w:t>
      </w:r>
      <w:r w:rsidR="005F1928" w:rsidRPr="00827666">
        <w:t>notice is given.</w:t>
      </w:r>
    </w:p>
    <w:p w:rsidR="00855150" w:rsidRPr="00827666" w:rsidRDefault="001003BA" w:rsidP="00855150">
      <w:pPr>
        <w:pStyle w:val="NewSectionHeading"/>
      </w:pPr>
      <w:bookmarkStart w:id="23" w:name="_Toc505240105"/>
      <w:r w:rsidRPr="00827666">
        <w:t>13</w:t>
      </w:r>
      <w:r w:rsidR="00C10346" w:rsidRPr="00827666">
        <w:t>2</w:t>
      </w:r>
      <w:r w:rsidR="00855150" w:rsidRPr="00827666">
        <w:tab/>
        <w:t>Providing copy of personal information listed</w:t>
      </w:r>
      <w:bookmarkEnd w:id="23"/>
    </w:p>
    <w:p w:rsidR="008829E8" w:rsidRPr="00827666" w:rsidRDefault="00855150" w:rsidP="008829E8">
      <w:pPr>
        <w:pStyle w:val="Subsection"/>
      </w:pPr>
      <w:r w:rsidRPr="00827666">
        <w:tab/>
        <w:t>(1)</w:t>
      </w:r>
      <w:r w:rsidRPr="00827666">
        <w:tab/>
        <w:t>A landlord who lists personal information about a person in a tenancy database must</w:t>
      </w:r>
      <w:r w:rsidR="00BF2D3F" w:rsidRPr="00827666">
        <w:t xml:space="preserve"> </w:t>
      </w:r>
      <w:r w:rsidRPr="00827666">
        <w:t>give the person a copy of the information</w:t>
      </w:r>
      <w:r w:rsidR="008829E8" w:rsidRPr="00827666">
        <w:t xml:space="preserve"> if </w:t>
      </w:r>
      <w:r w:rsidR="00BF2D3F" w:rsidRPr="00827666">
        <w:t>the person asks for the information in writing</w:t>
      </w:r>
      <w:r w:rsidR="0042400B" w:rsidRPr="00827666">
        <w:t>, unless the landlord charges a fee for giving</w:t>
      </w:r>
      <w:r w:rsidR="004E7422" w:rsidRPr="00827666">
        <w:t xml:space="preserve"> the</w:t>
      </w:r>
      <w:r w:rsidR="0042400B" w:rsidRPr="00827666">
        <w:t xml:space="preserve"> information and the fee is not paid.</w:t>
      </w:r>
    </w:p>
    <w:p w:rsidR="00BF2D3F" w:rsidRPr="00827666" w:rsidRDefault="009A05C8" w:rsidP="008829E8">
      <w:pPr>
        <w:pStyle w:val="Subsection"/>
      </w:pPr>
      <w:r w:rsidRPr="00827666">
        <w:tab/>
        <w:t>(</w:t>
      </w:r>
      <w:r w:rsidR="008829E8" w:rsidRPr="00827666">
        <w:t>2</w:t>
      </w:r>
      <w:r w:rsidRPr="00827666">
        <w:t>)</w:t>
      </w:r>
      <w:r w:rsidRPr="00827666">
        <w:tab/>
        <w:t xml:space="preserve">A database operator </w:t>
      </w:r>
      <w:r w:rsidR="00BF2D3F" w:rsidRPr="00827666">
        <w:t xml:space="preserve">who keeps </w:t>
      </w:r>
      <w:r w:rsidRPr="00827666">
        <w:t xml:space="preserve">personal information </w:t>
      </w:r>
      <w:r w:rsidR="00BF2D3F" w:rsidRPr="00827666">
        <w:t xml:space="preserve">about a person </w:t>
      </w:r>
      <w:r w:rsidRPr="00827666">
        <w:t xml:space="preserve">in </w:t>
      </w:r>
      <w:r w:rsidR="00BF2D3F" w:rsidRPr="00827666">
        <w:t xml:space="preserve">a </w:t>
      </w:r>
      <w:r w:rsidRPr="00827666">
        <w:t xml:space="preserve">tenancy database </w:t>
      </w:r>
      <w:r w:rsidR="00BF2D3F" w:rsidRPr="00827666">
        <w:t>must</w:t>
      </w:r>
      <w:r w:rsidRPr="00827666">
        <w:t xml:space="preserve"> give the person a copy of the information </w:t>
      </w:r>
      <w:r w:rsidR="008829E8" w:rsidRPr="00827666">
        <w:t xml:space="preserve">if </w:t>
      </w:r>
      <w:r w:rsidR="00BF2D3F" w:rsidRPr="00827666">
        <w:t>the person asks for the information in writing</w:t>
      </w:r>
      <w:r w:rsidR="0042400B" w:rsidRPr="00827666">
        <w:t xml:space="preserve">, unless the operator charges a fee for giving </w:t>
      </w:r>
      <w:r w:rsidR="004E7422" w:rsidRPr="00827666">
        <w:t xml:space="preserve">the </w:t>
      </w:r>
      <w:r w:rsidR="0042400B" w:rsidRPr="00827666">
        <w:t>information and the fee is not paid.</w:t>
      </w:r>
    </w:p>
    <w:p w:rsidR="009A05C8" w:rsidRPr="00827666" w:rsidRDefault="009A05C8" w:rsidP="009A05C8">
      <w:pPr>
        <w:pStyle w:val="Subsection"/>
      </w:pPr>
      <w:r w:rsidRPr="00827666">
        <w:lastRenderedPageBreak/>
        <w:tab/>
        <w:t>(</w:t>
      </w:r>
      <w:r w:rsidR="00E42298" w:rsidRPr="00827666">
        <w:t>3</w:t>
      </w:r>
      <w:r w:rsidRPr="00827666">
        <w:t>)</w:t>
      </w:r>
      <w:r w:rsidRPr="00827666">
        <w:tab/>
      </w:r>
      <w:r w:rsidR="00EE35B9" w:rsidRPr="00827666">
        <w:t>The</w:t>
      </w:r>
      <w:r w:rsidR="009A44B3" w:rsidRPr="00827666">
        <w:t xml:space="preserve"> landlord or database operator must give the </w:t>
      </w:r>
      <w:r w:rsidR="00EE35B9" w:rsidRPr="00827666">
        <w:t xml:space="preserve">copy of the </w:t>
      </w:r>
      <w:r w:rsidR="009A44B3" w:rsidRPr="00827666">
        <w:t>information to the person within 14 days after the later of:</w:t>
      </w:r>
    </w:p>
    <w:p w:rsidR="009A44B3" w:rsidRPr="00827666" w:rsidRDefault="009A44B3" w:rsidP="009A44B3">
      <w:pPr>
        <w:pStyle w:val="Paragraph"/>
      </w:pPr>
      <w:r w:rsidRPr="00827666">
        <w:t>(a)</w:t>
      </w:r>
      <w:r w:rsidRPr="00827666">
        <w:tab/>
        <w:t>the day the person asks for the information in writing; and</w:t>
      </w:r>
    </w:p>
    <w:p w:rsidR="009A44B3" w:rsidRPr="00827666" w:rsidRDefault="009A44B3" w:rsidP="009A44B3">
      <w:pPr>
        <w:pStyle w:val="Paragraph"/>
      </w:pPr>
      <w:r w:rsidRPr="00827666">
        <w:t>(b)</w:t>
      </w:r>
      <w:r w:rsidRPr="00827666">
        <w:tab/>
        <w:t>if a fee is charged for giving the information – the day the fee is paid.</w:t>
      </w:r>
    </w:p>
    <w:p w:rsidR="00712CA3" w:rsidRPr="00827666" w:rsidRDefault="00712CA3" w:rsidP="00712CA3">
      <w:pPr>
        <w:pStyle w:val="Subsection"/>
      </w:pPr>
      <w:r w:rsidRPr="00827666">
        <w:tab/>
        <w:t>(4)</w:t>
      </w:r>
      <w:r w:rsidRPr="00827666">
        <w:tab/>
        <w:t xml:space="preserve">A fee charged by a landlord or a database operator for giving personal information under </w:t>
      </w:r>
      <w:r w:rsidR="00041C91" w:rsidRPr="00827666">
        <w:t>this section:</w:t>
      </w:r>
    </w:p>
    <w:p w:rsidR="00712CA3" w:rsidRPr="00827666" w:rsidRDefault="00712CA3" w:rsidP="00712CA3">
      <w:pPr>
        <w:pStyle w:val="Paragraph"/>
      </w:pPr>
      <w:r w:rsidRPr="00827666">
        <w:t>(a)</w:t>
      </w:r>
      <w:r w:rsidRPr="00827666">
        <w:tab/>
        <w:t>must not be excessive; and</w:t>
      </w:r>
    </w:p>
    <w:p w:rsidR="00712CA3" w:rsidRPr="00827666" w:rsidRDefault="00712CA3" w:rsidP="00712CA3">
      <w:pPr>
        <w:pStyle w:val="Paragraph"/>
      </w:pPr>
      <w:r w:rsidRPr="00827666">
        <w:t>(b)</w:t>
      </w:r>
      <w:r w:rsidRPr="00827666">
        <w:tab/>
        <w:t xml:space="preserve">must not apply to </w:t>
      </w:r>
      <w:r w:rsidR="00B91A8A" w:rsidRPr="00827666">
        <w:t xml:space="preserve">lodging </w:t>
      </w:r>
      <w:r w:rsidRPr="00827666">
        <w:t>a request for the information.</w:t>
      </w:r>
    </w:p>
    <w:p w:rsidR="00287A6E" w:rsidRPr="00827666" w:rsidRDefault="00D128B9" w:rsidP="00287A6E">
      <w:pPr>
        <w:pStyle w:val="NewSectionHeading"/>
      </w:pPr>
      <w:bookmarkStart w:id="24" w:name="_Toc505240106"/>
      <w:r w:rsidRPr="00827666">
        <w:t>13</w:t>
      </w:r>
      <w:r w:rsidR="002D0B27" w:rsidRPr="00827666">
        <w:t>3</w:t>
      </w:r>
      <w:r w:rsidR="00A264DE" w:rsidRPr="00827666">
        <w:tab/>
      </w:r>
      <w:r w:rsidR="00287A6E" w:rsidRPr="00827666">
        <w:t>Keeping personal information listed</w:t>
      </w:r>
      <w:bookmarkEnd w:id="24"/>
    </w:p>
    <w:p w:rsidR="0094633A" w:rsidRPr="00827666" w:rsidRDefault="0094633A" w:rsidP="00F251C3">
      <w:pPr>
        <w:pStyle w:val="Subsection"/>
      </w:pPr>
      <w:r w:rsidRPr="00827666">
        <w:tab/>
        <w:t>(1)</w:t>
      </w:r>
      <w:r w:rsidRPr="00827666">
        <w:tab/>
        <w:t xml:space="preserve">A database operator </w:t>
      </w:r>
      <w:r w:rsidR="00F251C3" w:rsidRPr="00827666">
        <w:t xml:space="preserve">must not </w:t>
      </w:r>
      <w:r w:rsidRPr="00827666">
        <w:t>keep personal information about a particular person in the operator’s tenancy database for longer than</w:t>
      </w:r>
      <w:r w:rsidR="00F251C3" w:rsidRPr="00827666">
        <w:t xml:space="preserve"> the shorter of:</w:t>
      </w:r>
    </w:p>
    <w:p w:rsidR="0094633A" w:rsidRPr="00827666" w:rsidRDefault="0094633A" w:rsidP="00F251C3">
      <w:pPr>
        <w:pStyle w:val="Paragraph"/>
      </w:pPr>
      <w:r w:rsidRPr="00827666">
        <w:t>(</w:t>
      </w:r>
      <w:r w:rsidR="00F251C3" w:rsidRPr="00827666">
        <w:t>a</w:t>
      </w:r>
      <w:r w:rsidRPr="00827666">
        <w:t>)</w:t>
      </w:r>
      <w:r w:rsidRPr="00827666">
        <w:tab/>
        <w:t>3 years; or</w:t>
      </w:r>
    </w:p>
    <w:p w:rsidR="0094633A" w:rsidRPr="00827666" w:rsidRDefault="00F251C3" w:rsidP="00BD4718">
      <w:pPr>
        <w:pStyle w:val="Paragraph"/>
        <w:rPr>
          <w:b/>
        </w:rPr>
      </w:pPr>
      <w:r w:rsidRPr="00827666">
        <w:t>(b)</w:t>
      </w:r>
      <w:r w:rsidRPr="00827666">
        <w:tab/>
      </w:r>
      <w:r w:rsidR="0094633A" w:rsidRPr="00827666">
        <w:t xml:space="preserve">the period </w:t>
      </w:r>
      <w:r w:rsidR="00E10B35" w:rsidRPr="00827666">
        <w:t>ending when</w:t>
      </w:r>
      <w:r w:rsidR="001D614B" w:rsidRPr="00827666">
        <w:t xml:space="preserve"> </w:t>
      </w:r>
      <w:r w:rsidR="0094633A" w:rsidRPr="00827666">
        <w:t xml:space="preserve">the information must be removed </w:t>
      </w:r>
      <w:r w:rsidR="00E10B35" w:rsidRPr="00827666">
        <w:t>under</w:t>
      </w:r>
      <w:r w:rsidR="0094633A" w:rsidRPr="00827666">
        <w:t xml:space="preserve"> the </w:t>
      </w:r>
      <w:r w:rsidR="008B0D77" w:rsidRPr="00827666">
        <w:t>Australian Privacy Principles</w:t>
      </w:r>
      <w:r w:rsidR="003650D0" w:rsidRPr="00827666">
        <w:t xml:space="preserve"> </w:t>
      </w:r>
      <w:r w:rsidR="00E10B35" w:rsidRPr="00827666">
        <w:t xml:space="preserve">as defined in </w:t>
      </w:r>
      <w:r w:rsidR="003650D0" w:rsidRPr="00827666">
        <w:t xml:space="preserve">the </w:t>
      </w:r>
      <w:r w:rsidR="003650D0" w:rsidRPr="00827666">
        <w:rPr>
          <w:i/>
        </w:rPr>
        <w:t>Privacy Act 1988</w:t>
      </w:r>
      <w:r w:rsidR="003650D0" w:rsidRPr="00827666">
        <w:t> (</w:t>
      </w:r>
      <w:proofErr w:type="spellStart"/>
      <w:r w:rsidR="003650D0" w:rsidRPr="00827666">
        <w:t>Cth</w:t>
      </w:r>
      <w:proofErr w:type="spellEnd"/>
      <w:r w:rsidR="003650D0" w:rsidRPr="00827666">
        <w:t>).</w:t>
      </w:r>
    </w:p>
    <w:p w:rsidR="0094633A" w:rsidRPr="00827666" w:rsidRDefault="0094633A" w:rsidP="0094633A">
      <w:pPr>
        <w:pStyle w:val="Subsection"/>
      </w:pPr>
      <w:r w:rsidRPr="00827666">
        <w:tab/>
        <w:t>(</w:t>
      </w:r>
      <w:r w:rsidR="00BD4718" w:rsidRPr="00827666">
        <w:t>2</w:t>
      </w:r>
      <w:r w:rsidRPr="00827666">
        <w:t>)</w:t>
      </w:r>
      <w:r w:rsidRPr="00827666">
        <w:tab/>
        <w:t>However</w:t>
      </w:r>
      <w:r w:rsidR="001746F2" w:rsidRPr="00827666">
        <w:t>, a database operator may keep a</w:t>
      </w:r>
      <w:r w:rsidR="00C5463C" w:rsidRPr="00827666">
        <w:t xml:space="preserve"> person's name in the operator'</w:t>
      </w:r>
      <w:r w:rsidRPr="00827666">
        <w:t xml:space="preserve">s tenancy database for longer than the period </w:t>
      </w:r>
      <w:r w:rsidR="00BD4718" w:rsidRPr="00827666">
        <w:t xml:space="preserve">allowed under </w:t>
      </w:r>
      <w:r w:rsidRPr="00827666">
        <w:t>subsection (1) if:</w:t>
      </w:r>
    </w:p>
    <w:p w:rsidR="0094633A" w:rsidRPr="00827666" w:rsidRDefault="0094633A" w:rsidP="0094633A">
      <w:pPr>
        <w:pStyle w:val="Paragraph"/>
      </w:pPr>
      <w:r w:rsidRPr="00827666">
        <w:t>(a)</w:t>
      </w:r>
      <w:r w:rsidRPr="00827666">
        <w:tab/>
        <w:t>other personal information about the person in the database is attached to the name; and</w:t>
      </w:r>
    </w:p>
    <w:p w:rsidR="0094633A" w:rsidRPr="00827666" w:rsidRDefault="0094633A" w:rsidP="007F42A8">
      <w:pPr>
        <w:pStyle w:val="Paragraph"/>
        <w:keepNext/>
      </w:pPr>
      <w:r w:rsidRPr="00827666">
        <w:t>(b)</w:t>
      </w:r>
      <w:r w:rsidRPr="00827666">
        <w:tab/>
        <w:t xml:space="preserve">the other personal information is not required to be removed under subsection (1) or </w:t>
      </w:r>
      <w:r w:rsidR="00C56670" w:rsidRPr="00827666">
        <w:t xml:space="preserve">by </w:t>
      </w:r>
      <w:r w:rsidRPr="00827666">
        <w:t>another law.</w:t>
      </w:r>
    </w:p>
    <w:p w:rsidR="00141DF0" w:rsidRPr="00827666" w:rsidRDefault="00141DF0" w:rsidP="00141DF0">
      <w:pPr>
        <w:pStyle w:val="Subsection"/>
      </w:pPr>
      <w:r w:rsidRPr="00827666">
        <w:tab/>
        <w:t>(3)</w:t>
      </w:r>
      <w:r w:rsidRPr="00827666">
        <w:tab/>
        <w:t xml:space="preserve">A database operator commits an offence if the operator keeps personal information about a person in the operator's </w:t>
      </w:r>
      <w:r w:rsidR="004C6451" w:rsidRPr="00827666">
        <w:t xml:space="preserve">tenancy </w:t>
      </w:r>
      <w:r w:rsidRPr="00827666">
        <w:t>database other than in accordance with this section.</w:t>
      </w:r>
    </w:p>
    <w:p w:rsidR="00141DF0" w:rsidRPr="00827666" w:rsidRDefault="00141DF0" w:rsidP="00141DF0">
      <w:pPr>
        <w:pStyle w:val="Sectiontext"/>
      </w:pPr>
      <w:r w:rsidRPr="00827666">
        <w:t>Maximum penalty:</w:t>
      </w:r>
      <w:r w:rsidRPr="00827666">
        <w:tab/>
        <w:t>20 penalty units.</w:t>
      </w:r>
    </w:p>
    <w:p w:rsidR="00141DF0" w:rsidRPr="00827666" w:rsidRDefault="00141DF0" w:rsidP="00141DF0">
      <w:pPr>
        <w:pStyle w:val="Subsection"/>
      </w:pPr>
      <w:r w:rsidRPr="00827666">
        <w:tab/>
        <w:t>(4)</w:t>
      </w:r>
      <w:r w:rsidRPr="00827666">
        <w:tab/>
        <w:t>An offence against subsection (3) is an offence of strict liability.</w:t>
      </w:r>
    </w:p>
    <w:p w:rsidR="0094633A" w:rsidRPr="00827666" w:rsidRDefault="0094633A" w:rsidP="00BE0A32">
      <w:pPr>
        <w:pStyle w:val="Subsection"/>
      </w:pPr>
      <w:r w:rsidRPr="00827666">
        <w:tab/>
        <w:t>(</w:t>
      </w:r>
      <w:r w:rsidR="00141DF0" w:rsidRPr="00827666">
        <w:t>5</w:t>
      </w:r>
      <w:r w:rsidRPr="00827666">
        <w:t>)</w:t>
      </w:r>
      <w:r w:rsidRPr="00827666">
        <w:tab/>
        <w:t xml:space="preserve">This section does not limit the operation of another provision of this </w:t>
      </w:r>
      <w:r w:rsidR="00FF5BC6" w:rsidRPr="00827666">
        <w:t>Part</w:t>
      </w:r>
      <w:r w:rsidRPr="00827666">
        <w:t xml:space="preserve"> or another law that requires the removal of the personal information.</w:t>
      </w:r>
    </w:p>
    <w:p w:rsidR="00AB5FFD" w:rsidRPr="00827666" w:rsidRDefault="00D128B9" w:rsidP="00AB5FFD">
      <w:pPr>
        <w:pStyle w:val="NewSectionHeading"/>
      </w:pPr>
      <w:bookmarkStart w:id="25" w:name="_Toc505240107"/>
      <w:r w:rsidRPr="00827666">
        <w:lastRenderedPageBreak/>
        <w:t>13</w:t>
      </w:r>
      <w:r w:rsidR="006129E2" w:rsidRPr="00827666">
        <w:t>4</w:t>
      </w:r>
      <w:r w:rsidR="004920E8" w:rsidRPr="00827666">
        <w:tab/>
      </w:r>
      <w:r w:rsidR="00BE1583" w:rsidRPr="00827666">
        <w:t>Powers of Tribunal</w:t>
      </w:r>
      <w:bookmarkEnd w:id="25"/>
    </w:p>
    <w:p w:rsidR="008232AB" w:rsidRPr="00827666" w:rsidRDefault="00AB5FFD" w:rsidP="001C187A">
      <w:pPr>
        <w:pStyle w:val="Subsection"/>
      </w:pPr>
      <w:r w:rsidRPr="00827666">
        <w:tab/>
        <w:t>(1)</w:t>
      </w:r>
      <w:r w:rsidRPr="00827666">
        <w:tab/>
      </w:r>
      <w:r w:rsidR="00E7173E" w:rsidRPr="00827666">
        <w:t xml:space="preserve">A person may apply to the Tribunal for an </w:t>
      </w:r>
      <w:r w:rsidR="00F559EE" w:rsidRPr="00827666">
        <w:t>order under this section if personal information about the person is, or is proposed to be, listed in a tenancy database.</w:t>
      </w:r>
    </w:p>
    <w:p w:rsidR="00647697" w:rsidRPr="00827666" w:rsidRDefault="001C187A" w:rsidP="00647697">
      <w:pPr>
        <w:pStyle w:val="Subsection"/>
      </w:pPr>
      <w:r w:rsidRPr="00827666">
        <w:tab/>
        <w:t>(2)</w:t>
      </w:r>
      <w:r w:rsidRPr="00827666">
        <w:tab/>
      </w:r>
      <w:r w:rsidR="00791D60" w:rsidRPr="00827666">
        <w:t>The</w:t>
      </w:r>
      <w:r w:rsidR="00AB5FFD" w:rsidRPr="00827666">
        <w:t xml:space="preserve"> Tribunal may </w:t>
      </w:r>
      <w:r w:rsidR="00791D60" w:rsidRPr="00827666">
        <w:t xml:space="preserve">make </w:t>
      </w:r>
      <w:r w:rsidR="00647697" w:rsidRPr="00827666">
        <w:t>any orders it considers appropriate to ensure that a landlord or database operator complies with this Part, including an order:</w:t>
      </w:r>
    </w:p>
    <w:p w:rsidR="00A23AE9" w:rsidRPr="00827666" w:rsidRDefault="00A23AE9" w:rsidP="00647697">
      <w:pPr>
        <w:pStyle w:val="Paragraph"/>
      </w:pPr>
      <w:r w:rsidRPr="00827666">
        <w:t>(a)</w:t>
      </w:r>
      <w:r w:rsidRPr="00827666">
        <w:tab/>
        <w:t xml:space="preserve">prohibiting a landlord or database operator from listing personal information </w:t>
      </w:r>
      <w:r w:rsidR="00CA310D" w:rsidRPr="00827666">
        <w:t>about a person in a tenancy database; or</w:t>
      </w:r>
    </w:p>
    <w:p w:rsidR="00CA310D" w:rsidRPr="00827666" w:rsidRDefault="00CA310D" w:rsidP="00D10060">
      <w:pPr>
        <w:pStyle w:val="Paragraph"/>
      </w:pPr>
      <w:r w:rsidRPr="00827666">
        <w:t>(b)</w:t>
      </w:r>
      <w:r w:rsidRPr="00827666">
        <w:tab/>
        <w:t>requiring a landlord or database operator to amend</w:t>
      </w:r>
      <w:r w:rsidR="00D10060" w:rsidRPr="00827666">
        <w:t xml:space="preserve"> or remove</w:t>
      </w:r>
      <w:r w:rsidRPr="00827666">
        <w:t xml:space="preserve"> personal information about a person that is, or is to be, listed in a tenancy database</w:t>
      </w:r>
      <w:r w:rsidR="00D10060" w:rsidRPr="00827666">
        <w:t>.</w:t>
      </w:r>
    </w:p>
    <w:p w:rsidR="00611055" w:rsidRPr="00827666" w:rsidRDefault="00E5635C" w:rsidP="00E5635C">
      <w:pPr>
        <w:pStyle w:val="Subsection"/>
      </w:pPr>
      <w:r w:rsidRPr="00827666">
        <w:tab/>
        <w:t>(3)</w:t>
      </w:r>
      <w:r w:rsidRPr="00827666">
        <w:tab/>
      </w:r>
      <w:r w:rsidR="009D139C" w:rsidRPr="00827666">
        <w:t xml:space="preserve">If the Tribunal makes an order against a person who is not a party to the proceeding, the Tribunal may </w:t>
      </w:r>
      <w:r w:rsidR="009412F3" w:rsidRPr="00827666">
        <w:t>order</w:t>
      </w:r>
      <w:r w:rsidR="009D139C" w:rsidRPr="00827666">
        <w:t xml:space="preserve"> a party to give a copy of </w:t>
      </w:r>
      <w:r w:rsidR="00FF70C7" w:rsidRPr="00827666">
        <w:t>the decision or order of the Tribunal</w:t>
      </w:r>
      <w:r w:rsidR="009D139C" w:rsidRPr="00827666">
        <w:t xml:space="preserve"> to that person within </w:t>
      </w:r>
      <w:r w:rsidR="00122CF1" w:rsidRPr="00827666">
        <w:t>a stated period.</w:t>
      </w:r>
    </w:p>
    <w:p w:rsidR="00AE40B8" w:rsidRPr="00827666" w:rsidRDefault="00F019A6" w:rsidP="00F019A6">
      <w:pPr>
        <w:pStyle w:val="NewSectionHeading"/>
      </w:pPr>
      <w:bookmarkStart w:id="26" w:name="_Toc505240108"/>
      <w:r w:rsidRPr="00827666">
        <w:t>135</w:t>
      </w:r>
      <w:r w:rsidRPr="00827666">
        <w:tab/>
      </w:r>
      <w:r w:rsidR="00B1329F" w:rsidRPr="00827666">
        <w:t xml:space="preserve">Claims </w:t>
      </w:r>
      <w:r w:rsidR="00AE04F4" w:rsidRPr="00827666">
        <w:t>of privilege</w:t>
      </w:r>
      <w:r w:rsidR="00F602B7" w:rsidRPr="00827666">
        <w:t xml:space="preserve"> under this Part</w:t>
      </w:r>
      <w:bookmarkEnd w:id="26"/>
    </w:p>
    <w:p w:rsidR="00A612F1" w:rsidRPr="00827666" w:rsidRDefault="00AE40B8" w:rsidP="007934C9">
      <w:pPr>
        <w:pStyle w:val="Subsection"/>
        <w:keepNext/>
      </w:pPr>
      <w:r w:rsidRPr="00827666">
        <w:tab/>
        <w:t>(1)</w:t>
      </w:r>
      <w:r w:rsidRPr="00827666">
        <w:tab/>
      </w:r>
      <w:r w:rsidR="00A612F1" w:rsidRPr="00827666">
        <w:t>In a proceeding before the Tribunal under this Part:</w:t>
      </w:r>
    </w:p>
    <w:p w:rsidR="00AE40B8" w:rsidRPr="00827666" w:rsidRDefault="00A612F1" w:rsidP="00A612F1">
      <w:pPr>
        <w:pStyle w:val="Paragraph"/>
      </w:pPr>
      <w:r w:rsidRPr="00827666">
        <w:t>(a)</w:t>
      </w:r>
      <w:r w:rsidRPr="00827666">
        <w:tab/>
      </w:r>
      <w:r w:rsidR="00F920E9" w:rsidRPr="00827666">
        <w:t>sections 71 and 72</w:t>
      </w:r>
      <w:r w:rsidR="003E50F1" w:rsidRPr="00827666">
        <w:t xml:space="preserve"> of the </w:t>
      </w:r>
      <w:r w:rsidR="003E50F1" w:rsidRPr="00827666">
        <w:rPr>
          <w:i/>
        </w:rPr>
        <w:t xml:space="preserve">Northern Territory Civil and </w:t>
      </w:r>
      <w:r w:rsidR="00530465" w:rsidRPr="00827666">
        <w:rPr>
          <w:i/>
        </w:rPr>
        <w:t>Administrative Tribunal Act</w:t>
      </w:r>
      <w:r w:rsidR="00530465" w:rsidRPr="00827666">
        <w:t xml:space="preserve"> </w:t>
      </w:r>
      <w:r w:rsidR="00F920E9" w:rsidRPr="00827666">
        <w:t>do not apply; and</w:t>
      </w:r>
    </w:p>
    <w:p w:rsidR="00F920E9" w:rsidRPr="00827666" w:rsidRDefault="00A612F1" w:rsidP="00F920E9">
      <w:pPr>
        <w:pStyle w:val="Paragraph"/>
      </w:pPr>
      <w:r w:rsidRPr="00827666">
        <w:t>(b)</w:t>
      </w:r>
      <w:r w:rsidRPr="00827666">
        <w:tab/>
        <w:t xml:space="preserve">a person is not excused </w:t>
      </w:r>
      <w:r w:rsidR="004F7EFC" w:rsidRPr="00827666">
        <w:t xml:space="preserve">from </w:t>
      </w:r>
      <w:r w:rsidR="007434C9" w:rsidRPr="00827666">
        <w:t xml:space="preserve">giving evidence or producing evidentiary material </w:t>
      </w:r>
      <w:r w:rsidRPr="00827666">
        <w:t xml:space="preserve">on the ground that </w:t>
      </w:r>
      <w:r w:rsidR="00260ACA" w:rsidRPr="00827666">
        <w:t>the evidence or evidentiary material</w:t>
      </w:r>
      <w:r w:rsidR="003A748D" w:rsidRPr="00827666">
        <w:t xml:space="preserve"> </w:t>
      </w:r>
      <w:r w:rsidRPr="00827666">
        <w:t xml:space="preserve">may tend to </w:t>
      </w:r>
      <w:r w:rsidR="00A13C52" w:rsidRPr="00827666">
        <w:t>incriminate th</w:t>
      </w:r>
      <w:r w:rsidR="00BB7DE3" w:rsidRPr="00827666">
        <w:t>e</w:t>
      </w:r>
      <w:r w:rsidR="00A13C52" w:rsidRPr="00827666">
        <w:t xml:space="preserve"> person in relation to </w:t>
      </w:r>
      <w:r w:rsidR="00DF4E1C" w:rsidRPr="00827666">
        <w:t>an offence against this Part.</w:t>
      </w:r>
    </w:p>
    <w:p w:rsidR="00645AC0" w:rsidRPr="00827666" w:rsidRDefault="00AE40B8" w:rsidP="007934C9">
      <w:pPr>
        <w:pStyle w:val="Subsection"/>
        <w:keepNext/>
      </w:pPr>
      <w:r w:rsidRPr="00827666">
        <w:tab/>
        <w:t>(2)</w:t>
      </w:r>
      <w:r w:rsidRPr="00827666">
        <w:tab/>
        <w:t xml:space="preserve">However, </w:t>
      </w:r>
      <w:r w:rsidR="007F4319" w:rsidRPr="00827666">
        <w:t>evidence and evidentiary material</w:t>
      </w:r>
      <w:r w:rsidR="00EB5976" w:rsidRPr="00827666">
        <w:t xml:space="preserve"> </w:t>
      </w:r>
      <w:r w:rsidR="001948B5" w:rsidRPr="00827666">
        <w:t>is not admissible as</w:t>
      </w:r>
      <w:r w:rsidR="00645AC0" w:rsidRPr="00827666">
        <w:t xml:space="preserve"> </w:t>
      </w:r>
      <w:r w:rsidR="00CF080D" w:rsidRPr="00827666">
        <w:t>evidence against a person in a</w:t>
      </w:r>
      <w:r w:rsidR="00645AC0" w:rsidRPr="00827666">
        <w:t xml:space="preserve"> criminal proceeding </w:t>
      </w:r>
      <w:r w:rsidR="00A14CDD" w:rsidRPr="00827666">
        <w:t>for an offence against</w:t>
      </w:r>
      <w:r w:rsidR="00645AC0" w:rsidRPr="00827666">
        <w:t xml:space="preserve"> this Part </w:t>
      </w:r>
      <w:r w:rsidR="00EB5976" w:rsidRPr="00827666">
        <w:t xml:space="preserve">if </w:t>
      </w:r>
      <w:r w:rsidR="003A45C1" w:rsidRPr="00827666">
        <w:t xml:space="preserve">the </w:t>
      </w:r>
      <w:r w:rsidR="005F6D5B" w:rsidRPr="00827666">
        <w:t>evidence or evidentiary material</w:t>
      </w:r>
      <w:r w:rsidR="00EB5976" w:rsidRPr="00827666">
        <w:t>:</w:t>
      </w:r>
    </w:p>
    <w:p w:rsidR="00680A82" w:rsidRPr="00827666" w:rsidRDefault="00645AC0" w:rsidP="00645AC0">
      <w:pPr>
        <w:pStyle w:val="Paragraph"/>
      </w:pPr>
      <w:r w:rsidRPr="00827666">
        <w:t>(a)</w:t>
      </w:r>
      <w:r w:rsidRPr="00827666">
        <w:tab/>
      </w:r>
      <w:r w:rsidR="00A14CDD" w:rsidRPr="00827666">
        <w:t xml:space="preserve">was </w:t>
      </w:r>
      <w:r w:rsidR="00FF548D" w:rsidRPr="00827666">
        <w:t>given</w:t>
      </w:r>
      <w:r w:rsidR="00E152EE" w:rsidRPr="00827666">
        <w:t xml:space="preserve"> or </w:t>
      </w:r>
      <w:r w:rsidRPr="00827666">
        <w:t xml:space="preserve">produced </w:t>
      </w:r>
      <w:r w:rsidR="00CF080D" w:rsidRPr="00827666">
        <w:t xml:space="preserve">by the person </w:t>
      </w:r>
      <w:r w:rsidR="00A14CDD" w:rsidRPr="00827666">
        <w:t xml:space="preserve">before the Tribunal </w:t>
      </w:r>
      <w:r w:rsidR="00680A82" w:rsidRPr="00827666">
        <w:t>under this Part; and</w:t>
      </w:r>
    </w:p>
    <w:p w:rsidR="00AE40B8" w:rsidRPr="00827666" w:rsidRDefault="00A14CDD" w:rsidP="00645AC0">
      <w:pPr>
        <w:pStyle w:val="Paragraph"/>
      </w:pPr>
      <w:r w:rsidRPr="00827666">
        <w:t>(b)</w:t>
      </w:r>
      <w:r w:rsidRPr="00827666">
        <w:tab/>
      </w:r>
      <w:r w:rsidR="00FE6B5D" w:rsidRPr="00827666">
        <w:t xml:space="preserve">may tend to </w:t>
      </w:r>
      <w:r w:rsidR="00257A80" w:rsidRPr="00827666">
        <w:t>incriminate the person in relation to the offence</w:t>
      </w:r>
      <w:r w:rsidR="00FE6B5D" w:rsidRPr="00827666">
        <w:t>.</w:t>
      </w:r>
    </w:p>
    <w:p w:rsidR="00F019A6" w:rsidRPr="00827666" w:rsidRDefault="00AE40B8" w:rsidP="00F019A6">
      <w:pPr>
        <w:pStyle w:val="NewSectionHeading"/>
      </w:pPr>
      <w:bookmarkStart w:id="27" w:name="_Toc505240109"/>
      <w:r w:rsidRPr="00827666">
        <w:t>136</w:t>
      </w:r>
      <w:r w:rsidRPr="00827666">
        <w:tab/>
      </w:r>
      <w:r w:rsidR="00FF59A4" w:rsidRPr="00827666">
        <w:t xml:space="preserve">No internal review </w:t>
      </w:r>
      <w:r w:rsidR="00D722BA" w:rsidRPr="00827666">
        <w:t>under this Part</w:t>
      </w:r>
      <w:bookmarkEnd w:id="27"/>
    </w:p>
    <w:p w:rsidR="00FF59A4" w:rsidRPr="00827666" w:rsidRDefault="00FF59A4" w:rsidP="00FF59A4">
      <w:pPr>
        <w:pStyle w:val="Sectiontext"/>
      </w:pPr>
      <w:r w:rsidRPr="00827666">
        <w:t xml:space="preserve">Part 5, Division 1 of the </w:t>
      </w:r>
      <w:r w:rsidRPr="00827666">
        <w:rPr>
          <w:i/>
        </w:rPr>
        <w:t>Northern Territory Ci</w:t>
      </w:r>
      <w:r w:rsidR="00530465" w:rsidRPr="00827666">
        <w:rPr>
          <w:i/>
        </w:rPr>
        <w:t>vil and Administrative Tribunal </w:t>
      </w:r>
      <w:r w:rsidRPr="00827666">
        <w:rPr>
          <w:i/>
        </w:rPr>
        <w:t>Act</w:t>
      </w:r>
      <w:r w:rsidRPr="00827666">
        <w:t xml:space="preserve"> does not apply to a decision of the Tribunal under this Part.</w:t>
      </w:r>
    </w:p>
    <w:p w:rsidR="002C7323" w:rsidRPr="00827666" w:rsidRDefault="00FE5877" w:rsidP="00742A09">
      <w:pPr>
        <w:pStyle w:val="SectionHeading"/>
        <w:shd w:val="clear" w:color="auto" w:fill="BFBFBF" w:themeFill="background1" w:themeFillShade="BF"/>
      </w:pPr>
      <w:bookmarkStart w:id="28" w:name="_Toc505240110"/>
      <w:r w:rsidRPr="00827666">
        <w:lastRenderedPageBreak/>
        <w:t xml:space="preserve">Section </w:t>
      </w:r>
      <w:r w:rsidR="002C7323" w:rsidRPr="00827666">
        <w:t>159 amended</w:t>
      </w:r>
      <w:r w:rsidR="0051236C" w:rsidRPr="00827666">
        <w:t xml:space="preserve"> (Definitions)</w:t>
      </w:r>
      <w:bookmarkEnd w:id="28"/>
    </w:p>
    <w:p w:rsidR="00587A34" w:rsidRPr="00827666" w:rsidRDefault="00587A34" w:rsidP="00587A34">
      <w:pPr>
        <w:pStyle w:val="Sectiontext"/>
      </w:pPr>
      <w:r w:rsidRPr="00827666">
        <w:t>Section 159</w:t>
      </w:r>
    </w:p>
    <w:p w:rsidR="00587A34" w:rsidRPr="00827666" w:rsidRDefault="00587A34" w:rsidP="00587A34">
      <w:pPr>
        <w:pStyle w:val="Sectiontext"/>
        <w:rPr>
          <w:i/>
        </w:rPr>
      </w:pPr>
      <w:r w:rsidRPr="00827666">
        <w:rPr>
          <w:i/>
        </w:rPr>
        <w:t>omit</w:t>
      </w:r>
    </w:p>
    <w:p w:rsidR="00587A34" w:rsidRPr="00827666" w:rsidRDefault="00B12960" w:rsidP="00587A34">
      <w:pPr>
        <w:pStyle w:val="Sectiontext"/>
      </w:pPr>
      <w:r w:rsidRPr="00827666">
        <w:t>Part, unless the contrary intention appears</w:t>
      </w:r>
    </w:p>
    <w:p w:rsidR="00587A34" w:rsidRPr="00827666" w:rsidRDefault="00587A34" w:rsidP="00587A34">
      <w:pPr>
        <w:pStyle w:val="Sectiontext"/>
        <w:rPr>
          <w:i/>
        </w:rPr>
      </w:pPr>
      <w:r w:rsidRPr="00827666">
        <w:rPr>
          <w:i/>
        </w:rPr>
        <w:t>insert</w:t>
      </w:r>
    </w:p>
    <w:p w:rsidR="00D128B9" w:rsidRPr="00827666" w:rsidRDefault="00587A34" w:rsidP="00587A34">
      <w:pPr>
        <w:pStyle w:val="Sectiontext"/>
      </w:pPr>
      <w:r w:rsidRPr="00827666">
        <w:t>Division</w:t>
      </w:r>
    </w:p>
    <w:p w:rsidR="00C87D6F" w:rsidRPr="00827666" w:rsidRDefault="00C87D6F" w:rsidP="00742A09">
      <w:pPr>
        <w:pStyle w:val="SectionHeading"/>
        <w:shd w:val="clear" w:color="auto" w:fill="BFBFBF" w:themeFill="background1" w:themeFillShade="BF"/>
      </w:pPr>
      <w:bookmarkStart w:id="29" w:name="_Toc505240111"/>
      <w:r w:rsidRPr="00827666">
        <w:t>Part 18, Division 5 inserted</w:t>
      </w:r>
      <w:bookmarkEnd w:id="29"/>
    </w:p>
    <w:p w:rsidR="00C87D6F" w:rsidRPr="00827666" w:rsidRDefault="00596C47" w:rsidP="00E1345E">
      <w:pPr>
        <w:pStyle w:val="Sectiontext"/>
        <w:keepNext/>
      </w:pPr>
      <w:r w:rsidRPr="00827666">
        <w:t>After section 171</w:t>
      </w:r>
    </w:p>
    <w:p w:rsidR="00596C47" w:rsidRPr="00827666" w:rsidRDefault="00596C47" w:rsidP="00E1345E">
      <w:pPr>
        <w:pStyle w:val="Sectiontext"/>
        <w:keepNext/>
        <w:rPr>
          <w:i/>
        </w:rPr>
      </w:pPr>
      <w:r w:rsidRPr="00827666">
        <w:rPr>
          <w:i/>
        </w:rPr>
        <w:t>insert</w:t>
      </w:r>
    </w:p>
    <w:p w:rsidR="00596C47" w:rsidRPr="00827666" w:rsidRDefault="00596C47" w:rsidP="00596C47">
      <w:pPr>
        <w:pStyle w:val="NewDivisionHeading"/>
      </w:pPr>
      <w:bookmarkStart w:id="30" w:name="_Toc505240112"/>
      <w:r w:rsidRPr="00827666">
        <w:t>Division 5</w:t>
      </w:r>
      <w:r w:rsidRPr="00827666">
        <w:tab/>
        <w:t>Residential Tenancies Amendment Act 2018</w:t>
      </w:r>
      <w:bookmarkEnd w:id="30"/>
    </w:p>
    <w:p w:rsidR="009357D6" w:rsidRPr="00827666" w:rsidRDefault="00FE7E0B" w:rsidP="00FE7E0B">
      <w:pPr>
        <w:pStyle w:val="NewSectionHeading"/>
      </w:pPr>
      <w:bookmarkStart w:id="31" w:name="_Toc505240113"/>
      <w:r w:rsidRPr="00827666">
        <w:t>172</w:t>
      </w:r>
      <w:r w:rsidRPr="00827666">
        <w:tab/>
      </w:r>
      <w:r w:rsidR="00231F63" w:rsidRPr="00827666">
        <w:t>Definition</w:t>
      </w:r>
      <w:bookmarkEnd w:id="31"/>
    </w:p>
    <w:p w:rsidR="00C32AED" w:rsidRPr="00827666" w:rsidRDefault="00C32AED" w:rsidP="00C32AED">
      <w:pPr>
        <w:pStyle w:val="Sectiontext"/>
      </w:pPr>
      <w:r w:rsidRPr="00827666">
        <w:t>In this Division:</w:t>
      </w:r>
    </w:p>
    <w:p w:rsidR="00037823" w:rsidRPr="00827666" w:rsidRDefault="00231F63" w:rsidP="00231F63">
      <w:pPr>
        <w:pStyle w:val="Definition"/>
      </w:pPr>
      <w:r w:rsidRPr="00827666">
        <w:rPr>
          <w:b/>
          <w:i/>
        </w:rPr>
        <w:t>commencement</w:t>
      </w:r>
      <w:r w:rsidRPr="00827666">
        <w:t xml:space="preserve"> means the commencement of the </w:t>
      </w:r>
      <w:r w:rsidRPr="00827666">
        <w:rPr>
          <w:i/>
        </w:rPr>
        <w:t>Residential Tenancies Amendment Act 2018</w:t>
      </w:r>
      <w:r w:rsidRPr="00827666">
        <w:t>.</w:t>
      </w:r>
    </w:p>
    <w:p w:rsidR="00FE7E0B" w:rsidRPr="00827666" w:rsidRDefault="000214C3" w:rsidP="00E345BC">
      <w:pPr>
        <w:pStyle w:val="NewSectionHeading"/>
      </w:pPr>
      <w:bookmarkStart w:id="32" w:name="_Toc505240114"/>
      <w:r w:rsidRPr="00827666">
        <w:t>173</w:t>
      </w:r>
      <w:r w:rsidR="0099580B" w:rsidRPr="00827666">
        <w:tab/>
      </w:r>
      <w:r w:rsidR="009F08E8" w:rsidRPr="00827666">
        <w:t>Transitional provision for</w:t>
      </w:r>
      <w:r w:rsidR="009357D6" w:rsidRPr="00827666">
        <w:t xml:space="preserve"> Part 14</w:t>
      </w:r>
      <w:bookmarkEnd w:id="32"/>
    </w:p>
    <w:p w:rsidR="00B00D76" w:rsidRPr="00827666" w:rsidRDefault="009357D6" w:rsidP="009357D6">
      <w:pPr>
        <w:pStyle w:val="Subsection"/>
      </w:pPr>
      <w:r w:rsidRPr="00827666">
        <w:tab/>
        <w:t>(1)</w:t>
      </w:r>
      <w:r w:rsidRPr="00827666">
        <w:tab/>
      </w:r>
      <w:r w:rsidR="00E85E71" w:rsidRPr="00827666">
        <w:t>From the commencement to the day immediately before the transition day,</w:t>
      </w:r>
      <w:r w:rsidR="00075439" w:rsidRPr="00827666">
        <w:t xml:space="preserve"> </w:t>
      </w:r>
      <w:r w:rsidR="00037823" w:rsidRPr="00827666">
        <w:t xml:space="preserve">Part 14 applies only in relation to </w:t>
      </w:r>
      <w:r w:rsidR="007B36E4" w:rsidRPr="00827666">
        <w:t>a tenancy agreement</w:t>
      </w:r>
      <w:r w:rsidR="00B00D76" w:rsidRPr="00827666">
        <w:t xml:space="preserve"> </w:t>
      </w:r>
      <w:r w:rsidR="00C53519" w:rsidRPr="00827666">
        <w:t>made</w:t>
      </w:r>
      <w:r w:rsidR="007B36E4" w:rsidRPr="00827666">
        <w:t>,</w:t>
      </w:r>
      <w:r w:rsidR="00B00D76" w:rsidRPr="00827666">
        <w:t xml:space="preserve"> and </w:t>
      </w:r>
      <w:r w:rsidR="005210C6" w:rsidRPr="00827666">
        <w:t>personal information listed</w:t>
      </w:r>
      <w:r w:rsidR="007B36E4" w:rsidRPr="00827666">
        <w:t>,</w:t>
      </w:r>
      <w:r w:rsidR="00B00D76" w:rsidRPr="00827666">
        <w:t xml:space="preserve"> on or after the commencement.</w:t>
      </w:r>
    </w:p>
    <w:p w:rsidR="00E85E71" w:rsidRPr="00827666" w:rsidRDefault="00B00D76" w:rsidP="009357D6">
      <w:pPr>
        <w:pStyle w:val="Subsection"/>
      </w:pPr>
      <w:r w:rsidRPr="00827666">
        <w:tab/>
        <w:t>(2)</w:t>
      </w:r>
      <w:r w:rsidRPr="00827666">
        <w:tab/>
      </w:r>
      <w:r w:rsidR="00E85E71" w:rsidRPr="00827666">
        <w:t>On and from the transition day,</w:t>
      </w:r>
      <w:r w:rsidR="00D73558" w:rsidRPr="00827666">
        <w:t xml:space="preserve"> Part 14 applies </w:t>
      </w:r>
      <w:r w:rsidR="007B36E4" w:rsidRPr="00827666">
        <w:t xml:space="preserve">in relation to </w:t>
      </w:r>
      <w:r w:rsidR="00C65605" w:rsidRPr="00827666">
        <w:t xml:space="preserve">a tenancy agreement </w:t>
      </w:r>
      <w:r w:rsidR="00C53519" w:rsidRPr="00827666">
        <w:t>made, and</w:t>
      </w:r>
      <w:r w:rsidR="00C65605" w:rsidRPr="00827666">
        <w:t xml:space="preserve"> personal information</w:t>
      </w:r>
      <w:r w:rsidR="007B3997" w:rsidRPr="00827666">
        <w:t xml:space="preserve"> listed,</w:t>
      </w:r>
      <w:r w:rsidR="00C65605" w:rsidRPr="00827666">
        <w:t xml:space="preserve"> </w:t>
      </w:r>
      <w:r w:rsidR="00D73558" w:rsidRPr="00827666">
        <w:t>before, on or after the commencement</w:t>
      </w:r>
      <w:r w:rsidRPr="00827666">
        <w:t>.</w:t>
      </w:r>
    </w:p>
    <w:p w:rsidR="00E85E71" w:rsidRPr="00827666" w:rsidRDefault="00E85E71" w:rsidP="00E85E71">
      <w:pPr>
        <w:pStyle w:val="Subsection"/>
        <w:keepNext/>
      </w:pPr>
      <w:r w:rsidRPr="00827666">
        <w:tab/>
        <w:t>(3)</w:t>
      </w:r>
      <w:r w:rsidRPr="00827666">
        <w:tab/>
        <w:t>In this section:</w:t>
      </w:r>
    </w:p>
    <w:p w:rsidR="00E85E71" w:rsidRPr="00827666" w:rsidRDefault="00E85E71" w:rsidP="00E85E71">
      <w:pPr>
        <w:pStyle w:val="Definition"/>
      </w:pPr>
      <w:r w:rsidRPr="00827666">
        <w:rPr>
          <w:b/>
          <w:i/>
        </w:rPr>
        <w:t>transition day</w:t>
      </w:r>
      <w:r w:rsidRPr="00827666">
        <w:t xml:space="preserve"> means the </w:t>
      </w:r>
      <w:r w:rsidR="0041595E" w:rsidRPr="00827666">
        <w:t>day 3 months</w:t>
      </w:r>
      <w:r w:rsidRPr="00827666">
        <w:t xml:space="preserve"> after the commencement.</w:t>
      </w:r>
    </w:p>
    <w:p w:rsidR="00951B29" w:rsidRPr="00827666" w:rsidRDefault="000214C3" w:rsidP="00951B29">
      <w:pPr>
        <w:pStyle w:val="NewSectionHeading"/>
      </w:pPr>
      <w:bookmarkStart w:id="33" w:name="_Toc505240115"/>
      <w:r w:rsidRPr="00827666">
        <w:t>174</w:t>
      </w:r>
      <w:r w:rsidR="006523EC" w:rsidRPr="00827666">
        <w:tab/>
      </w:r>
      <w:r w:rsidR="00F45669" w:rsidRPr="00827666">
        <w:t>Jurisdiction of Tribunal</w:t>
      </w:r>
      <w:r w:rsidR="00BB552D" w:rsidRPr="00827666">
        <w:t xml:space="preserve"> for Tenancy Act leases</w:t>
      </w:r>
      <w:bookmarkEnd w:id="33"/>
    </w:p>
    <w:p w:rsidR="0006402C" w:rsidRPr="00827666" w:rsidRDefault="0006402C" w:rsidP="0006402C">
      <w:pPr>
        <w:pStyle w:val="Subsection"/>
      </w:pPr>
      <w:r w:rsidRPr="00827666">
        <w:tab/>
        <w:t>(1)</w:t>
      </w:r>
      <w:r w:rsidRPr="00827666">
        <w:tab/>
      </w:r>
      <w:r w:rsidR="00953C4B" w:rsidRPr="00827666">
        <w:t xml:space="preserve">Despite </w:t>
      </w:r>
      <w:r w:rsidR="00397F8B" w:rsidRPr="00827666">
        <w:t>Division 1</w:t>
      </w:r>
      <w:r w:rsidR="00953C4B" w:rsidRPr="00827666">
        <w:t xml:space="preserve">, </w:t>
      </w:r>
      <w:r w:rsidR="00256C59" w:rsidRPr="00827666">
        <w:t>t</w:t>
      </w:r>
      <w:r w:rsidR="00A27AE9" w:rsidRPr="00827666">
        <w:t xml:space="preserve">he Tribunal has jurisdiction </w:t>
      </w:r>
      <w:r w:rsidR="003D4BC9" w:rsidRPr="00827666">
        <w:t>to deal with a</w:t>
      </w:r>
      <w:r w:rsidR="00F45669" w:rsidRPr="00827666">
        <w:t xml:space="preserve"> lease</w:t>
      </w:r>
      <w:r w:rsidR="00C400B9" w:rsidRPr="00827666">
        <w:t xml:space="preserve"> </w:t>
      </w:r>
      <w:r w:rsidR="00016009" w:rsidRPr="00827666">
        <w:t>that</w:t>
      </w:r>
      <w:r w:rsidR="00F45669" w:rsidRPr="00827666">
        <w:t xml:space="preserve"> was in force immediately before the commencement</w:t>
      </w:r>
      <w:r w:rsidR="00A566E6" w:rsidRPr="00827666">
        <w:t>.</w:t>
      </w:r>
    </w:p>
    <w:p w:rsidR="00A32532" w:rsidRPr="00827666" w:rsidRDefault="0006402C" w:rsidP="0006402C">
      <w:pPr>
        <w:pStyle w:val="Subsection"/>
      </w:pPr>
      <w:r w:rsidRPr="00827666">
        <w:tab/>
        <w:t>(2)</w:t>
      </w:r>
      <w:r w:rsidRPr="00827666">
        <w:tab/>
        <w:t xml:space="preserve">Part III of the </w:t>
      </w:r>
      <w:r w:rsidRPr="00827666">
        <w:rPr>
          <w:i/>
        </w:rPr>
        <w:t xml:space="preserve">Tenancy Act </w:t>
      </w:r>
      <w:r w:rsidRPr="00827666">
        <w:t xml:space="preserve">does not apply to an order, determination, decision or variation made by the Tribunal under </w:t>
      </w:r>
      <w:r w:rsidR="0098580B" w:rsidRPr="00827666">
        <w:t>that Act.</w:t>
      </w:r>
    </w:p>
    <w:p w:rsidR="00A32532" w:rsidRPr="00827666" w:rsidRDefault="00A32532" w:rsidP="0085790D">
      <w:pPr>
        <w:pStyle w:val="Subsection"/>
        <w:keepNext/>
      </w:pPr>
      <w:r w:rsidRPr="00827666">
        <w:lastRenderedPageBreak/>
        <w:tab/>
        <w:t>(3)</w:t>
      </w:r>
      <w:r w:rsidRPr="00827666">
        <w:tab/>
        <w:t>In this section:</w:t>
      </w:r>
    </w:p>
    <w:p w:rsidR="00C400B9" w:rsidRPr="00827666" w:rsidRDefault="00C400B9" w:rsidP="00A32532">
      <w:pPr>
        <w:pStyle w:val="Definition"/>
      </w:pPr>
      <w:r w:rsidRPr="00827666">
        <w:rPr>
          <w:b/>
          <w:i/>
        </w:rPr>
        <w:t>lease</w:t>
      </w:r>
      <w:r w:rsidRPr="00827666">
        <w:t>, see section 159.</w:t>
      </w:r>
    </w:p>
    <w:p w:rsidR="00F53BF0" w:rsidRPr="00827666" w:rsidRDefault="00A32532" w:rsidP="00A32532">
      <w:pPr>
        <w:pStyle w:val="Definition"/>
      </w:pPr>
      <w:r w:rsidRPr="00827666">
        <w:rPr>
          <w:b/>
          <w:i/>
        </w:rPr>
        <w:t>Tenancy Act</w:t>
      </w:r>
      <w:r w:rsidRPr="00827666">
        <w:t>, see section 159.</w:t>
      </w:r>
    </w:p>
    <w:p w:rsidR="004679C1" w:rsidRPr="00827666" w:rsidRDefault="00C140AF" w:rsidP="002F6E1B">
      <w:pPr>
        <w:pStyle w:val="PartHeading"/>
      </w:pPr>
      <w:bookmarkStart w:id="34" w:name="_Toc505240116"/>
      <w:r w:rsidRPr="00827666">
        <w:rPr>
          <w:rStyle w:val="charPartText"/>
        </w:rPr>
        <w:t>Part 3</w:t>
      </w:r>
      <w:r w:rsidRPr="00827666">
        <w:rPr>
          <w:rStyle w:val="charPartText"/>
        </w:rPr>
        <w:tab/>
        <w:t>Amendment of Residential Tenancies Regulations</w:t>
      </w:r>
      <w:bookmarkEnd w:id="34"/>
    </w:p>
    <w:p w:rsidR="009E2085" w:rsidRPr="00827666" w:rsidRDefault="00827666" w:rsidP="004679C1">
      <w:pPr>
        <w:pStyle w:val="BlankHeader"/>
      </w:pPr>
      <w:r w:rsidRPr="00827666">
        <w:rPr>
          <w:rStyle w:val="charDivisionText"/>
        </w:rPr>
        <w:t xml:space="preserve"> </w:t>
      </w:r>
      <w:r w:rsidRPr="00827666">
        <w:rPr>
          <w:rStyle w:val="charSubdivisionText"/>
        </w:rPr>
        <w:t xml:space="preserve"> </w:t>
      </w:r>
    </w:p>
    <w:p w:rsidR="00C140AF" w:rsidRPr="00827666" w:rsidRDefault="00C140AF" w:rsidP="009479AD">
      <w:pPr>
        <w:pStyle w:val="SectionHeading"/>
        <w:shd w:val="clear" w:color="auto" w:fill="BFBFBF"/>
      </w:pPr>
      <w:bookmarkStart w:id="35" w:name="_Toc505240117"/>
      <w:r w:rsidRPr="00827666">
        <w:t>Regulations amended</w:t>
      </w:r>
      <w:bookmarkEnd w:id="35"/>
    </w:p>
    <w:p w:rsidR="00C140AF" w:rsidRPr="00827666" w:rsidRDefault="00C140AF" w:rsidP="00C140AF">
      <w:pPr>
        <w:pStyle w:val="Sectiontext"/>
        <w:rPr>
          <w:i/>
        </w:rPr>
      </w:pPr>
      <w:r w:rsidRPr="00827666">
        <w:t xml:space="preserve">This Part amends the </w:t>
      </w:r>
      <w:r w:rsidRPr="00827666">
        <w:rPr>
          <w:i/>
        </w:rPr>
        <w:t>Residential Tenancies Regulations.</w:t>
      </w:r>
    </w:p>
    <w:p w:rsidR="00C140AF" w:rsidRPr="00827666" w:rsidRDefault="0088352B" w:rsidP="009479AD">
      <w:pPr>
        <w:pStyle w:val="SectionHeading"/>
        <w:shd w:val="clear" w:color="auto" w:fill="BFBFBF"/>
      </w:pPr>
      <w:bookmarkStart w:id="36" w:name="_Toc505240118"/>
      <w:r w:rsidRPr="00827666">
        <w:t>Schedule 1 amended</w:t>
      </w:r>
      <w:r w:rsidR="00B7698B" w:rsidRPr="00827666">
        <w:t xml:space="preserve"> (Offences and penalties)</w:t>
      </w:r>
      <w:bookmarkEnd w:id="36"/>
    </w:p>
    <w:p w:rsidR="00B52F81" w:rsidRPr="00827666" w:rsidRDefault="00B52F81" w:rsidP="00B52F81">
      <w:pPr>
        <w:pStyle w:val="AmendingSection"/>
      </w:pPr>
      <w:r w:rsidRPr="00827666">
        <w:t>(1)</w:t>
      </w:r>
      <w:r w:rsidRPr="00827666">
        <w:tab/>
        <w:t>Schedule 1, entry for section 37(1) and (2)</w:t>
      </w:r>
    </w:p>
    <w:p w:rsidR="00B52F81" w:rsidRPr="00827666" w:rsidRDefault="00B52F81" w:rsidP="00B52F81">
      <w:pPr>
        <w:pStyle w:val="Sectiontext"/>
      </w:pPr>
      <w:r w:rsidRPr="00827666">
        <w:rPr>
          <w:i/>
        </w:rPr>
        <w:t>omit</w:t>
      </w:r>
    </w:p>
    <w:p w:rsidR="00B52F81" w:rsidRPr="00827666" w:rsidRDefault="00B52F81" w:rsidP="00B52F81">
      <w:pPr>
        <w:pStyle w:val="Sectiontext"/>
      </w:pPr>
      <w:r w:rsidRPr="00827666">
        <w:t>37(1) and (2)</w:t>
      </w:r>
    </w:p>
    <w:p w:rsidR="00B52F81" w:rsidRPr="00827666" w:rsidRDefault="00B52F81" w:rsidP="00B52F81">
      <w:pPr>
        <w:pStyle w:val="Sectiontext"/>
        <w:rPr>
          <w:i/>
        </w:rPr>
      </w:pPr>
      <w:r w:rsidRPr="00827666">
        <w:rPr>
          <w:i/>
        </w:rPr>
        <w:t>insert</w:t>
      </w:r>
    </w:p>
    <w:p w:rsidR="00B52F81" w:rsidRPr="00827666" w:rsidRDefault="00B52F81" w:rsidP="00B52F81">
      <w:pPr>
        <w:pStyle w:val="Sectiontext"/>
      </w:pPr>
      <w:r w:rsidRPr="00827666">
        <w:t>37(1), (2) and (3)</w:t>
      </w:r>
    </w:p>
    <w:p w:rsidR="0088352B" w:rsidRPr="00827666" w:rsidRDefault="00B52F81" w:rsidP="008C258A">
      <w:pPr>
        <w:pStyle w:val="AmendingSection"/>
        <w:keepNext/>
      </w:pPr>
      <w:r w:rsidRPr="00827666">
        <w:t>(2)</w:t>
      </w:r>
      <w:r w:rsidRPr="00827666">
        <w:tab/>
      </w:r>
      <w:r w:rsidR="0088352B" w:rsidRPr="00827666">
        <w:t>Schedule 1, after entry for section </w:t>
      </w:r>
      <w:r w:rsidR="00D51E32" w:rsidRPr="00827666">
        <w:t>118(2) and </w:t>
      </w:r>
      <w:r w:rsidR="0088352B" w:rsidRPr="00827666">
        <w:t>(3)</w:t>
      </w:r>
    </w:p>
    <w:p w:rsidR="0088352B" w:rsidRPr="00827666" w:rsidRDefault="0088352B" w:rsidP="008C258A">
      <w:pPr>
        <w:pStyle w:val="Sectiontext"/>
        <w:keepNext/>
        <w:rPr>
          <w:i/>
        </w:rPr>
      </w:pPr>
      <w:r w:rsidRPr="00827666">
        <w:rPr>
          <w:i/>
        </w:rPr>
        <w:t>insert</w:t>
      </w:r>
    </w:p>
    <w:tbl>
      <w:tblPr>
        <w:tblW w:w="0" w:type="auto"/>
        <w:tblInd w:w="108" w:type="dxa"/>
        <w:tblLayout w:type="fixed"/>
        <w:tblLook w:val="0000" w:firstRow="0" w:lastRow="0" w:firstColumn="0" w:lastColumn="0" w:noHBand="0" w:noVBand="0"/>
      </w:tblPr>
      <w:tblGrid>
        <w:gridCol w:w="4253"/>
        <w:gridCol w:w="4111"/>
      </w:tblGrid>
      <w:tr w:rsidR="00D51E32" w:rsidRPr="00827666" w:rsidTr="008C258A">
        <w:trPr>
          <w:cantSplit/>
        </w:trPr>
        <w:tc>
          <w:tcPr>
            <w:tcW w:w="4253" w:type="dxa"/>
          </w:tcPr>
          <w:p w:rsidR="00D51E32" w:rsidRPr="00827666" w:rsidRDefault="00570165" w:rsidP="009479AD">
            <w:pPr>
              <w:spacing w:before="60" w:after="60"/>
              <w:ind w:left="1440"/>
            </w:pPr>
            <w:r w:rsidRPr="00827666">
              <w:t>126</w:t>
            </w:r>
            <w:r w:rsidR="006C4434" w:rsidRPr="00827666">
              <w:t>(5)</w:t>
            </w:r>
          </w:p>
        </w:tc>
        <w:tc>
          <w:tcPr>
            <w:tcW w:w="4111" w:type="dxa"/>
          </w:tcPr>
          <w:p w:rsidR="00D51E32" w:rsidRPr="00827666" w:rsidRDefault="00886D37" w:rsidP="009479AD">
            <w:pPr>
              <w:spacing w:before="60" w:after="60"/>
              <w:jc w:val="center"/>
            </w:pPr>
            <w:r w:rsidRPr="00827666">
              <w:t>4</w:t>
            </w:r>
          </w:p>
        </w:tc>
      </w:tr>
      <w:tr w:rsidR="00D51E32" w:rsidRPr="00827666" w:rsidTr="008C258A">
        <w:trPr>
          <w:cantSplit/>
        </w:trPr>
        <w:tc>
          <w:tcPr>
            <w:tcW w:w="4253" w:type="dxa"/>
          </w:tcPr>
          <w:p w:rsidR="00D51E32" w:rsidRPr="00827666" w:rsidRDefault="00570165" w:rsidP="009479AD">
            <w:pPr>
              <w:spacing w:before="60" w:after="60"/>
              <w:ind w:left="1440"/>
            </w:pPr>
            <w:r w:rsidRPr="00827666">
              <w:t>127</w:t>
            </w:r>
            <w:r w:rsidR="006C4434" w:rsidRPr="00827666">
              <w:t>(3)</w:t>
            </w:r>
          </w:p>
        </w:tc>
        <w:tc>
          <w:tcPr>
            <w:tcW w:w="4111" w:type="dxa"/>
          </w:tcPr>
          <w:p w:rsidR="00D51E32" w:rsidRPr="00827666" w:rsidRDefault="00886D37" w:rsidP="009479AD">
            <w:pPr>
              <w:spacing w:before="60" w:after="60"/>
              <w:jc w:val="center"/>
            </w:pPr>
            <w:r w:rsidRPr="00827666">
              <w:t>4</w:t>
            </w:r>
          </w:p>
        </w:tc>
      </w:tr>
      <w:tr w:rsidR="0088352B" w:rsidRPr="00827666" w:rsidTr="008C258A">
        <w:trPr>
          <w:cantSplit/>
        </w:trPr>
        <w:tc>
          <w:tcPr>
            <w:tcW w:w="4253" w:type="dxa"/>
          </w:tcPr>
          <w:p w:rsidR="0088352B" w:rsidRPr="00827666" w:rsidRDefault="00570165" w:rsidP="008D72BB">
            <w:pPr>
              <w:spacing w:before="60" w:after="60"/>
              <w:ind w:left="1440"/>
            </w:pPr>
            <w:r w:rsidRPr="00827666">
              <w:t>128</w:t>
            </w:r>
            <w:r w:rsidR="008D72BB" w:rsidRPr="00827666">
              <w:t>(2)</w:t>
            </w:r>
          </w:p>
        </w:tc>
        <w:tc>
          <w:tcPr>
            <w:tcW w:w="4111" w:type="dxa"/>
          </w:tcPr>
          <w:p w:rsidR="0088352B" w:rsidRPr="00827666" w:rsidRDefault="0088352B" w:rsidP="009479AD">
            <w:pPr>
              <w:spacing w:before="60" w:after="60"/>
              <w:jc w:val="center"/>
            </w:pPr>
            <w:r w:rsidRPr="00827666">
              <w:t>4</w:t>
            </w:r>
          </w:p>
        </w:tc>
      </w:tr>
      <w:tr w:rsidR="0088352B" w:rsidRPr="00827666" w:rsidTr="008C258A">
        <w:trPr>
          <w:cantSplit/>
        </w:trPr>
        <w:tc>
          <w:tcPr>
            <w:tcW w:w="4253" w:type="dxa"/>
          </w:tcPr>
          <w:p w:rsidR="0088352B" w:rsidRPr="00827666" w:rsidRDefault="00570165" w:rsidP="008D72BB">
            <w:pPr>
              <w:spacing w:before="60" w:after="60"/>
              <w:ind w:left="1440"/>
            </w:pPr>
            <w:r w:rsidRPr="00827666">
              <w:t>129</w:t>
            </w:r>
            <w:r w:rsidR="008D72BB" w:rsidRPr="00827666">
              <w:t>(4)</w:t>
            </w:r>
          </w:p>
        </w:tc>
        <w:tc>
          <w:tcPr>
            <w:tcW w:w="4111" w:type="dxa"/>
          </w:tcPr>
          <w:p w:rsidR="0088352B" w:rsidRPr="00827666" w:rsidRDefault="006C4434" w:rsidP="009479AD">
            <w:pPr>
              <w:spacing w:before="60" w:after="60"/>
              <w:jc w:val="center"/>
            </w:pPr>
            <w:r w:rsidRPr="00827666">
              <w:t>4</w:t>
            </w:r>
          </w:p>
        </w:tc>
      </w:tr>
      <w:tr w:rsidR="000556ED" w:rsidRPr="00827666" w:rsidTr="008C258A">
        <w:trPr>
          <w:cantSplit/>
        </w:trPr>
        <w:tc>
          <w:tcPr>
            <w:tcW w:w="4253" w:type="dxa"/>
          </w:tcPr>
          <w:p w:rsidR="000556ED" w:rsidRPr="00827666" w:rsidRDefault="00570165" w:rsidP="009479AD">
            <w:pPr>
              <w:spacing w:before="60" w:after="60"/>
              <w:ind w:left="1440"/>
            </w:pPr>
            <w:r w:rsidRPr="00827666">
              <w:t>133</w:t>
            </w:r>
            <w:r w:rsidR="006C4434" w:rsidRPr="00827666">
              <w:t>(3)</w:t>
            </w:r>
          </w:p>
        </w:tc>
        <w:tc>
          <w:tcPr>
            <w:tcW w:w="4111" w:type="dxa"/>
          </w:tcPr>
          <w:p w:rsidR="000556ED" w:rsidRPr="00827666" w:rsidRDefault="000556ED" w:rsidP="009479AD">
            <w:pPr>
              <w:spacing w:before="60" w:after="60"/>
              <w:jc w:val="center"/>
            </w:pPr>
            <w:r w:rsidRPr="00827666">
              <w:t>4</w:t>
            </w:r>
          </w:p>
        </w:tc>
      </w:tr>
    </w:tbl>
    <w:p w:rsidR="005C3F15" w:rsidRPr="00827666" w:rsidRDefault="005C3F15" w:rsidP="00915F6E">
      <w:pPr>
        <w:pStyle w:val="Sectiontext"/>
        <w:tabs>
          <w:tab w:val="left" w:pos="6663"/>
        </w:tabs>
        <w:spacing w:after="0"/>
      </w:pPr>
    </w:p>
    <w:p w:rsidR="00A22E2B" w:rsidRPr="00827666" w:rsidRDefault="00126781" w:rsidP="00126781">
      <w:pPr>
        <w:pStyle w:val="PartHeading"/>
      </w:pPr>
      <w:bookmarkStart w:id="37" w:name="_Toc505240119"/>
      <w:r w:rsidRPr="00827666">
        <w:rPr>
          <w:rStyle w:val="charPartText"/>
        </w:rPr>
        <w:t>Part 4</w:t>
      </w:r>
      <w:r w:rsidRPr="00827666">
        <w:rPr>
          <w:rStyle w:val="charPartText"/>
        </w:rPr>
        <w:tab/>
        <w:t>Repeal of Act</w:t>
      </w:r>
      <w:bookmarkEnd w:id="37"/>
    </w:p>
    <w:p w:rsidR="00126781" w:rsidRPr="00827666" w:rsidRDefault="00827666" w:rsidP="00A22E2B">
      <w:pPr>
        <w:pStyle w:val="BlankHeader"/>
      </w:pPr>
      <w:r w:rsidRPr="00827666">
        <w:rPr>
          <w:rStyle w:val="charDivisionText"/>
        </w:rPr>
        <w:t xml:space="preserve"> </w:t>
      </w:r>
      <w:r w:rsidRPr="00827666">
        <w:rPr>
          <w:rStyle w:val="charSubdivisionText"/>
        </w:rPr>
        <w:t xml:space="preserve"> </w:t>
      </w:r>
    </w:p>
    <w:p w:rsidR="0034797D" w:rsidRPr="00827666" w:rsidRDefault="00902036" w:rsidP="0004465F">
      <w:pPr>
        <w:pStyle w:val="SectionHeading"/>
        <w:shd w:val="clear" w:color="auto" w:fill="BFBFBF"/>
      </w:pPr>
      <w:bookmarkStart w:id="38" w:name="_Toc505240120"/>
      <w:r w:rsidRPr="00827666">
        <w:t>Repeal</w:t>
      </w:r>
      <w:r w:rsidR="0034797D" w:rsidRPr="00827666">
        <w:t xml:space="preserve"> of Act</w:t>
      </w:r>
      <w:bookmarkEnd w:id="38"/>
    </w:p>
    <w:p w:rsidR="00DA5245" w:rsidRPr="00827666" w:rsidRDefault="0034797D" w:rsidP="00915F6E">
      <w:pPr>
        <w:pStyle w:val="Sectiontext"/>
      </w:pPr>
      <w:r w:rsidRPr="00827666">
        <w:t xml:space="preserve">This </w:t>
      </w:r>
      <w:r w:rsidR="007558AD" w:rsidRPr="00827666">
        <w:t>Act</w:t>
      </w:r>
      <w:r w:rsidRPr="00827666">
        <w:t xml:space="preserve"> </w:t>
      </w:r>
      <w:r w:rsidR="00902036" w:rsidRPr="00827666">
        <w:t>is repealed</w:t>
      </w:r>
      <w:r w:rsidRPr="00827666">
        <w:t xml:space="preserve"> </w:t>
      </w:r>
      <w:r w:rsidR="00462680" w:rsidRPr="00827666">
        <w:t xml:space="preserve">on </w:t>
      </w:r>
      <w:r w:rsidRPr="00827666">
        <w:t>the day after it commences.</w:t>
      </w:r>
    </w:p>
    <w:sectPr w:rsidR="00DA5245" w:rsidRPr="00827666" w:rsidSect="00827666">
      <w:headerReference w:type="default" r:id="rId19"/>
      <w:footerReference w:type="default" r:id="rId20"/>
      <w:headerReference w:type="first" r:id="rId21"/>
      <w:footerReference w:type="first" r:id="rId22"/>
      <w:pgSz w:w="11907" w:h="16840"/>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4B" w:rsidRDefault="00953C4B">
      <w:r>
        <w:separator/>
      </w:r>
    </w:p>
  </w:endnote>
  <w:endnote w:type="continuationSeparator" w:id="0">
    <w:p w:rsidR="00953C4B" w:rsidRDefault="0095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52" w:rsidRDefault="00703552">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703552" w:rsidRDefault="007035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953C4B" w:rsidP="00827666">
    <w:pPr>
      <w:pStyle w:val="Footer"/>
      <w:spacing w:before="240"/>
    </w:pPr>
  </w:p>
  <w:p w:rsidR="00827666" w:rsidRPr="00827666" w:rsidRDefault="00827666" w:rsidP="0082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52" w:rsidRDefault="00703552" w:rsidP="00434461">
    <w:pPr>
      <w:pStyle w:val="Footer"/>
      <w:pBdr>
        <w:top w:val="single" w:sz="4" w:space="1" w:color="auto"/>
      </w:pBdr>
    </w:pPr>
    <w:r>
      <w:rPr>
        <w:i/>
      </w:rPr>
      <w:fldChar w:fldCharType="begin"/>
    </w:r>
    <w:r>
      <w:rPr>
        <w:i/>
      </w:rPr>
      <w:instrText xml:space="preserve"> DOCPROPERTY ActTitle </w:instrText>
    </w:r>
    <w:r>
      <w:rPr>
        <w:i/>
      </w:rPr>
      <w:fldChar w:fldCharType="separate"/>
    </w:r>
    <w:r w:rsidR="00B23828">
      <w:rPr>
        <w:i/>
      </w:rPr>
      <w:t>Residential Tenancies Amendment Act 2018</w:t>
    </w:r>
    <w:r>
      <w:rPr>
        <w:i/>
      </w:rPr>
      <w:fldChar w:fldCharType="end"/>
    </w:r>
    <w:r>
      <w:tab/>
    </w:r>
    <w:r>
      <w:fldChar w:fldCharType="begin"/>
    </w:r>
    <w:r>
      <w:instrText xml:space="preserve"> PAGE </w:instrText>
    </w:r>
    <w:r>
      <w:fldChar w:fldCharType="separate"/>
    </w:r>
    <w:r>
      <w:rPr>
        <w:noProof/>
      </w:rPr>
      <w:t>i</w:t>
    </w:r>
    <w:r>
      <w:fldChar w:fldCharType="end"/>
    </w:r>
  </w:p>
  <w:p w:rsidR="00703552" w:rsidRPr="00E22002" w:rsidRDefault="00703552" w:rsidP="00434461">
    <w:pPr>
      <w:pStyle w:val="Footer"/>
    </w:pPr>
    <w:r>
      <w:fldChar w:fldCharType="begin"/>
    </w:r>
    <w:r>
      <w:instrText xml:space="preserve"> TIME \@ "dd/MM/yy  HH:mm  " </w:instrText>
    </w:r>
    <w:r>
      <w:fldChar w:fldCharType="separate"/>
    </w:r>
    <w:r w:rsidR="000A2D86">
      <w:rPr>
        <w:noProof/>
      </w:rPr>
      <w:t xml:space="preserve">15/06/21  09:50  </w:t>
    </w:r>
    <w:r>
      <w:fldChar w:fldCharType="end"/>
    </w:r>
    <w:r w:rsidR="00B36B1A">
      <w:fldChar w:fldCharType="begin"/>
    </w:r>
    <w:r w:rsidR="00B36B1A">
      <w:instrText xml:space="preserve"> DOCPROPERTY  BillRef </w:instrText>
    </w:r>
    <w:r w:rsidR="00B36B1A">
      <w:fldChar w:fldCharType="separate"/>
    </w:r>
    <w:r w:rsidR="00B23828">
      <w:t xml:space="preserve"> </w:t>
    </w:r>
    <w:r w:rsidR="00B36B1A">
      <w:fldChar w:fldCharType="end"/>
    </w:r>
    <w:r>
      <w:tab/>
    </w:r>
    <w:r w:rsidRPr="00434461">
      <w:rPr>
        <w:b/>
      </w:rPr>
      <w:t>DRAFT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52" w:rsidRDefault="00703552" w:rsidP="00827666">
    <w:pPr>
      <w:pStyle w:val="Footer"/>
      <w:spacing w:before="240"/>
    </w:pPr>
  </w:p>
  <w:p w:rsidR="00703552" w:rsidRPr="00827666" w:rsidRDefault="00703552" w:rsidP="00827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953C4B">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953C4B" w:rsidRDefault="00953C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953C4B" w:rsidP="00434461">
    <w:pPr>
      <w:pStyle w:val="Footer"/>
      <w:pBdr>
        <w:top w:val="single" w:sz="4" w:space="1" w:color="auto"/>
      </w:pBdr>
    </w:pPr>
    <w:r>
      <w:rPr>
        <w:i/>
      </w:rPr>
      <w:fldChar w:fldCharType="begin"/>
    </w:r>
    <w:r>
      <w:rPr>
        <w:i/>
      </w:rPr>
      <w:instrText xml:space="preserve"> DOCPROPERTY ActTitle </w:instrText>
    </w:r>
    <w:r>
      <w:rPr>
        <w:i/>
      </w:rPr>
      <w:fldChar w:fldCharType="separate"/>
    </w:r>
    <w:r w:rsidR="00B23828">
      <w:rPr>
        <w:i/>
      </w:rPr>
      <w:t>Residential Tenancies Amendment Act 2018</w:t>
    </w:r>
    <w:r>
      <w:rPr>
        <w:i/>
      </w:rPr>
      <w:fldChar w:fldCharType="end"/>
    </w:r>
    <w:r>
      <w:tab/>
    </w:r>
    <w:r>
      <w:fldChar w:fldCharType="begin"/>
    </w:r>
    <w:r>
      <w:instrText xml:space="preserve"> PAGE </w:instrText>
    </w:r>
    <w:r>
      <w:fldChar w:fldCharType="separate"/>
    </w:r>
    <w:r w:rsidR="00827666">
      <w:rPr>
        <w:noProof/>
      </w:rPr>
      <w:t>i</w:t>
    </w:r>
    <w:r>
      <w:fldChar w:fldCharType="end"/>
    </w:r>
  </w:p>
  <w:p w:rsidR="00953C4B" w:rsidRPr="00E22002" w:rsidRDefault="00953C4B" w:rsidP="00434461">
    <w:pPr>
      <w:pStyle w:val="Footer"/>
    </w:pPr>
    <w:r>
      <w:fldChar w:fldCharType="begin"/>
    </w:r>
    <w:r>
      <w:instrText xml:space="preserve"> TIME \@ "dd/MM/yy  HH:mm  " </w:instrText>
    </w:r>
    <w:r>
      <w:fldChar w:fldCharType="separate"/>
    </w:r>
    <w:r w:rsidR="000A2D86">
      <w:rPr>
        <w:noProof/>
      </w:rPr>
      <w:t xml:space="preserve">15/06/21  09:50  </w:t>
    </w:r>
    <w:r>
      <w:fldChar w:fldCharType="end"/>
    </w:r>
    <w:fldSimple w:instr=" DOCPROPERTY  BillRef ">
      <w:r w:rsidR="00B23828">
        <w:t xml:space="preserve"> </w:t>
      </w:r>
    </w:fldSimple>
    <w:r>
      <w:tab/>
    </w:r>
    <w:r w:rsidRPr="00434461">
      <w:rPr>
        <w:b/>
      </w:rPr>
      <w:t>DRAFT ONLY</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953C4B" w:rsidP="00827666">
    <w:pPr>
      <w:pStyle w:val="Footer"/>
      <w:spacing w:before="240"/>
    </w:pPr>
  </w:p>
  <w:p w:rsidR="00827666" w:rsidRPr="00827666" w:rsidRDefault="00827666" w:rsidP="008276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66" w:rsidRDefault="00827666" w:rsidP="00827666">
    <w:pPr>
      <w:pStyle w:val="Footer"/>
      <w:pBdr>
        <w:top w:val="single" w:sz="4" w:space="1" w:color="auto"/>
      </w:pBdr>
    </w:pPr>
    <w:r>
      <w:rPr>
        <w:i/>
      </w:rPr>
      <w:fldChar w:fldCharType="begin"/>
    </w:r>
    <w:r>
      <w:rPr>
        <w:i/>
      </w:rPr>
      <w:instrText xml:space="preserve"> DOCPROPERTY ActTitle </w:instrText>
    </w:r>
    <w:r>
      <w:rPr>
        <w:i/>
      </w:rPr>
      <w:fldChar w:fldCharType="separate"/>
    </w:r>
    <w:r w:rsidR="00B23828">
      <w:rPr>
        <w:i/>
      </w:rPr>
      <w:t>Residential Tenancies Amendment Act 2018</w:t>
    </w:r>
    <w:r>
      <w:rPr>
        <w:i/>
      </w:rPr>
      <w:fldChar w:fldCharType="end"/>
    </w:r>
    <w:r>
      <w:tab/>
    </w:r>
    <w:r>
      <w:fldChar w:fldCharType="begin"/>
    </w:r>
    <w:r>
      <w:instrText xml:space="preserve"> PAGE </w:instrText>
    </w:r>
    <w:r>
      <w:fldChar w:fldCharType="separate"/>
    </w:r>
    <w:r w:rsidR="000A2D86">
      <w:rPr>
        <w:noProof/>
      </w:rPr>
      <w:t>ii</w:t>
    </w:r>
    <w:r>
      <w:fldChar w:fldCharType="end"/>
    </w:r>
  </w:p>
  <w:p w:rsidR="00827666" w:rsidRPr="00827666" w:rsidRDefault="00827666" w:rsidP="008276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953C4B" w:rsidP="00827666">
    <w:pPr>
      <w:pStyle w:val="Footer"/>
      <w:spacing w:before="240"/>
    </w:pPr>
  </w:p>
  <w:p w:rsidR="00827666" w:rsidRPr="00827666" w:rsidRDefault="00827666" w:rsidP="008276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666" w:rsidRDefault="00827666" w:rsidP="00827666">
    <w:pPr>
      <w:pStyle w:val="Footer"/>
      <w:pBdr>
        <w:top w:val="single" w:sz="4" w:space="1" w:color="auto"/>
      </w:pBdr>
    </w:pPr>
    <w:r>
      <w:rPr>
        <w:i/>
      </w:rPr>
      <w:fldChar w:fldCharType="begin"/>
    </w:r>
    <w:r>
      <w:rPr>
        <w:i/>
      </w:rPr>
      <w:instrText xml:space="preserve"> DOCPROPERTY ActTitle </w:instrText>
    </w:r>
    <w:r>
      <w:rPr>
        <w:i/>
      </w:rPr>
      <w:fldChar w:fldCharType="separate"/>
    </w:r>
    <w:r w:rsidR="00B23828">
      <w:rPr>
        <w:i/>
      </w:rPr>
      <w:t>Residential Tenancies Amendment Act 2018</w:t>
    </w:r>
    <w:r>
      <w:rPr>
        <w:i/>
      </w:rPr>
      <w:fldChar w:fldCharType="end"/>
    </w:r>
    <w:r>
      <w:tab/>
    </w:r>
    <w:r>
      <w:fldChar w:fldCharType="begin"/>
    </w:r>
    <w:r>
      <w:instrText xml:space="preserve"> PAGE </w:instrText>
    </w:r>
    <w:r>
      <w:fldChar w:fldCharType="separate"/>
    </w:r>
    <w:r w:rsidR="00B36B1A">
      <w:rPr>
        <w:noProof/>
      </w:rPr>
      <w:t>12</w:t>
    </w:r>
    <w:r>
      <w:fldChar w:fldCharType="end"/>
    </w:r>
  </w:p>
  <w:p w:rsidR="00827666" w:rsidRPr="00827666" w:rsidRDefault="00827666" w:rsidP="0082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4B" w:rsidRDefault="00953C4B">
      <w:r>
        <w:separator/>
      </w:r>
    </w:p>
  </w:footnote>
  <w:footnote w:type="continuationSeparator" w:id="0">
    <w:p w:rsidR="00953C4B" w:rsidRDefault="00953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953C4B" w:rsidP="00827666">
    <w:pPr>
      <w:pStyle w:val="Header"/>
    </w:pPr>
  </w:p>
  <w:p w:rsidR="00827666" w:rsidRDefault="00827666" w:rsidP="00827666">
    <w:pPr>
      <w:pStyle w:val="Header"/>
    </w:pPr>
  </w:p>
  <w:p w:rsidR="00827666" w:rsidRDefault="00827666" w:rsidP="00827666">
    <w:pPr>
      <w:pStyle w:val="Header"/>
    </w:pPr>
  </w:p>
  <w:p w:rsidR="00827666" w:rsidRPr="00827666" w:rsidRDefault="00827666" w:rsidP="00827666">
    <w:pPr>
      <w:pStyle w:val="Header"/>
      <w:pBdr>
        <w:bottom w:val="single" w:sz="4" w:space="1" w:color="auto"/>
      </w:pBd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Pr="00827666" w:rsidRDefault="00953C4B" w:rsidP="00827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Default="00827666" w:rsidP="00827666">
    <w:pPr>
      <w:pStyle w:val="Header"/>
    </w:pPr>
    <w:r>
      <w:fldChar w:fldCharType="begin"/>
    </w:r>
    <w:r>
      <w:instrText xml:space="preserve"> STYLEREF  charChapterText \l  </w:instrText>
    </w:r>
    <w:r>
      <w:fldChar w:fldCharType="end"/>
    </w:r>
  </w:p>
  <w:p w:rsidR="00827666" w:rsidRDefault="009A6B12" w:rsidP="00827666">
    <w:pPr>
      <w:pStyle w:val="Header"/>
    </w:pPr>
    <w:fldSimple w:instr=" STYLEREF  charPartText \l  ">
      <w:r w:rsidR="00B36B1A">
        <w:rPr>
          <w:noProof/>
        </w:rPr>
        <w:t>Part 4</w:t>
      </w:r>
      <w:r w:rsidR="00B36B1A">
        <w:rPr>
          <w:noProof/>
        </w:rPr>
        <w:tab/>
        <w:t>Repeal of Act</w:t>
      </w:r>
    </w:fldSimple>
  </w:p>
  <w:p w:rsidR="00827666" w:rsidRDefault="00827666" w:rsidP="00827666">
    <w:pPr>
      <w:pStyle w:val="Header"/>
    </w:pPr>
    <w:r>
      <w:fldChar w:fldCharType="begin"/>
    </w:r>
    <w:r>
      <w:instrText xml:space="preserve"> STYLEREF  charDivisionText \l  </w:instrText>
    </w:r>
    <w:r>
      <w:fldChar w:fldCharType="end"/>
    </w:r>
  </w:p>
  <w:p w:rsidR="00827666" w:rsidRPr="00827666" w:rsidRDefault="00827666" w:rsidP="00827666">
    <w:pPr>
      <w:pStyle w:val="Header"/>
      <w:pBdr>
        <w:bottom w:val="single" w:sz="4" w:space="1" w:color="auto"/>
      </w:pBdr>
      <w:spacing w:after="240"/>
    </w:pPr>
    <w:r>
      <w:fldChar w:fldCharType="begin"/>
    </w:r>
    <w:r>
      <w:instrText xml:space="preserve"> STYLEREF  charSubdivisionText \l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4B" w:rsidRPr="00827666" w:rsidRDefault="00953C4B" w:rsidP="0082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466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2E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ECF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929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A29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80C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807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C6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368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0D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0D"/>
    <w:rsid w:val="00000DAD"/>
    <w:rsid w:val="000033A2"/>
    <w:rsid w:val="00003497"/>
    <w:rsid w:val="0000526D"/>
    <w:rsid w:val="000062EF"/>
    <w:rsid w:val="00006924"/>
    <w:rsid w:val="00010A62"/>
    <w:rsid w:val="000119A6"/>
    <w:rsid w:val="00012D6D"/>
    <w:rsid w:val="00013200"/>
    <w:rsid w:val="000136EF"/>
    <w:rsid w:val="000142D6"/>
    <w:rsid w:val="00016009"/>
    <w:rsid w:val="000161CA"/>
    <w:rsid w:val="00017EC7"/>
    <w:rsid w:val="00020437"/>
    <w:rsid w:val="000214C3"/>
    <w:rsid w:val="00021957"/>
    <w:rsid w:val="00024E3F"/>
    <w:rsid w:val="00025DFB"/>
    <w:rsid w:val="00026931"/>
    <w:rsid w:val="0003163D"/>
    <w:rsid w:val="0003179D"/>
    <w:rsid w:val="00032504"/>
    <w:rsid w:val="00032600"/>
    <w:rsid w:val="00032BFB"/>
    <w:rsid w:val="000354C1"/>
    <w:rsid w:val="0003573E"/>
    <w:rsid w:val="00036BD5"/>
    <w:rsid w:val="00037823"/>
    <w:rsid w:val="0004007B"/>
    <w:rsid w:val="00041A13"/>
    <w:rsid w:val="00041A95"/>
    <w:rsid w:val="00041C4A"/>
    <w:rsid w:val="00041C91"/>
    <w:rsid w:val="00042580"/>
    <w:rsid w:val="00042C43"/>
    <w:rsid w:val="00042EAE"/>
    <w:rsid w:val="00043902"/>
    <w:rsid w:val="00043CF2"/>
    <w:rsid w:val="00044348"/>
    <w:rsid w:val="0004465F"/>
    <w:rsid w:val="000465BB"/>
    <w:rsid w:val="000504C8"/>
    <w:rsid w:val="0005079E"/>
    <w:rsid w:val="00050E50"/>
    <w:rsid w:val="00051550"/>
    <w:rsid w:val="000527DA"/>
    <w:rsid w:val="00052C81"/>
    <w:rsid w:val="00053273"/>
    <w:rsid w:val="00053AA7"/>
    <w:rsid w:val="00054589"/>
    <w:rsid w:val="000556ED"/>
    <w:rsid w:val="0005622A"/>
    <w:rsid w:val="0006085B"/>
    <w:rsid w:val="0006092F"/>
    <w:rsid w:val="00060F59"/>
    <w:rsid w:val="000617CF"/>
    <w:rsid w:val="00062352"/>
    <w:rsid w:val="0006285C"/>
    <w:rsid w:val="00062AA0"/>
    <w:rsid w:val="00062B68"/>
    <w:rsid w:val="000633F6"/>
    <w:rsid w:val="0006402C"/>
    <w:rsid w:val="00064CB3"/>
    <w:rsid w:val="000651DF"/>
    <w:rsid w:val="00067701"/>
    <w:rsid w:val="0007074A"/>
    <w:rsid w:val="00070902"/>
    <w:rsid w:val="00070CC7"/>
    <w:rsid w:val="00073A75"/>
    <w:rsid w:val="00074545"/>
    <w:rsid w:val="00075439"/>
    <w:rsid w:val="00076A98"/>
    <w:rsid w:val="000770E2"/>
    <w:rsid w:val="00080393"/>
    <w:rsid w:val="00081A5D"/>
    <w:rsid w:val="00081C53"/>
    <w:rsid w:val="0008297C"/>
    <w:rsid w:val="0008599A"/>
    <w:rsid w:val="00085A8C"/>
    <w:rsid w:val="00085B70"/>
    <w:rsid w:val="00085E52"/>
    <w:rsid w:val="00087B52"/>
    <w:rsid w:val="0009102F"/>
    <w:rsid w:val="00091B60"/>
    <w:rsid w:val="00091FA3"/>
    <w:rsid w:val="0009262F"/>
    <w:rsid w:val="00092FF0"/>
    <w:rsid w:val="000931EF"/>
    <w:rsid w:val="00093326"/>
    <w:rsid w:val="00093A91"/>
    <w:rsid w:val="00093DF7"/>
    <w:rsid w:val="00093E72"/>
    <w:rsid w:val="0009411C"/>
    <w:rsid w:val="000945A7"/>
    <w:rsid w:val="000948CD"/>
    <w:rsid w:val="000975DC"/>
    <w:rsid w:val="000A083B"/>
    <w:rsid w:val="000A1D6C"/>
    <w:rsid w:val="000A2762"/>
    <w:rsid w:val="000A2D86"/>
    <w:rsid w:val="000A2F2A"/>
    <w:rsid w:val="000A4A55"/>
    <w:rsid w:val="000A6C4F"/>
    <w:rsid w:val="000B09CA"/>
    <w:rsid w:val="000B1456"/>
    <w:rsid w:val="000B1646"/>
    <w:rsid w:val="000B28B9"/>
    <w:rsid w:val="000B29AD"/>
    <w:rsid w:val="000B3F18"/>
    <w:rsid w:val="000B50BA"/>
    <w:rsid w:val="000B5BAE"/>
    <w:rsid w:val="000B5EDC"/>
    <w:rsid w:val="000B6163"/>
    <w:rsid w:val="000B6D95"/>
    <w:rsid w:val="000B79AB"/>
    <w:rsid w:val="000C0820"/>
    <w:rsid w:val="000C3DD0"/>
    <w:rsid w:val="000C3E91"/>
    <w:rsid w:val="000C4311"/>
    <w:rsid w:val="000C4F48"/>
    <w:rsid w:val="000C52A5"/>
    <w:rsid w:val="000C57F8"/>
    <w:rsid w:val="000C7C97"/>
    <w:rsid w:val="000D13BE"/>
    <w:rsid w:val="000D194B"/>
    <w:rsid w:val="000D214D"/>
    <w:rsid w:val="000D3150"/>
    <w:rsid w:val="000D409F"/>
    <w:rsid w:val="000D425F"/>
    <w:rsid w:val="000D4635"/>
    <w:rsid w:val="000D77A5"/>
    <w:rsid w:val="000E006D"/>
    <w:rsid w:val="000E1995"/>
    <w:rsid w:val="000E1B15"/>
    <w:rsid w:val="000E2700"/>
    <w:rsid w:val="000E2D46"/>
    <w:rsid w:val="000E2EB5"/>
    <w:rsid w:val="000E2FAF"/>
    <w:rsid w:val="000E3568"/>
    <w:rsid w:val="000E41F3"/>
    <w:rsid w:val="000E52F5"/>
    <w:rsid w:val="000E5977"/>
    <w:rsid w:val="000E5AA4"/>
    <w:rsid w:val="000E5C52"/>
    <w:rsid w:val="000E6BDB"/>
    <w:rsid w:val="000E7E3F"/>
    <w:rsid w:val="000F085E"/>
    <w:rsid w:val="000F08F0"/>
    <w:rsid w:val="000F0C77"/>
    <w:rsid w:val="000F126F"/>
    <w:rsid w:val="000F185C"/>
    <w:rsid w:val="000F2C5A"/>
    <w:rsid w:val="000F2C96"/>
    <w:rsid w:val="000F477E"/>
    <w:rsid w:val="000F498D"/>
    <w:rsid w:val="000F54EC"/>
    <w:rsid w:val="000F576B"/>
    <w:rsid w:val="000F61E3"/>
    <w:rsid w:val="001000A5"/>
    <w:rsid w:val="0010036D"/>
    <w:rsid w:val="001003BA"/>
    <w:rsid w:val="00103833"/>
    <w:rsid w:val="00104230"/>
    <w:rsid w:val="00104F60"/>
    <w:rsid w:val="00105033"/>
    <w:rsid w:val="00105E39"/>
    <w:rsid w:val="00106C6D"/>
    <w:rsid w:val="00106CA2"/>
    <w:rsid w:val="001071C1"/>
    <w:rsid w:val="001075C1"/>
    <w:rsid w:val="0011087B"/>
    <w:rsid w:val="0011135E"/>
    <w:rsid w:val="00111462"/>
    <w:rsid w:val="00111BB9"/>
    <w:rsid w:val="00113A10"/>
    <w:rsid w:val="00113E87"/>
    <w:rsid w:val="00115F7E"/>
    <w:rsid w:val="0011737B"/>
    <w:rsid w:val="00117B82"/>
    <w:rsid w:val="001200B8"/>
    <w:rsid w:val="0012077E"/>
    <w:rsid w:val="001207BD"/>
    <w:rsid w:val="00120B85"/>
    <w:rsid w:val="0012137E"/>
    <w:rsid w:val="00121FD3"/>
    <w:rsid w:val="00122CF1"/>
    <w:rsid w:val="00123BFB"/>
    <w:rsid w:val="00124420"/>
    <w:rsid w:val="00124595"/>
    <w:rsid w:val="001252F7"/>
    <w:rsid w:val="0012542B"/>
    <w:rsid w:val="00126037"/>
    <w:rsid w:val="0012652B"/>
    <w:rsid w:val="00126781"/>
    <w:rsid w:val="00126F63"/>
    <w:rsid w:val="00127827"/>
    <w:rsid w:val="00127AD3"/>
    <w:rsid w:val="00130127"/>
    <w:rsid w:val="0013045E"/>
    <w:rsid w:val="00131B57"/>
    <w:rsid w:val="00131B94"/>
    <w:rsid w:val="00131CB4"/>
    <w:rsid w:val="001324D2"/>
    <w:rsid w:val="00132C37"/>
    <w:rsid w:val="00132CD1"/>
    <w:rsid w:val="00133FF1"/>
    <w:rsid w:val="00134A2D"/>
    <w:rsid w:val="00134CE9"/>
    <w:rsid w:val="00135908"/>
    <w:rsid w:val="00136807"/>
    <w:rsid w:val="001372C2"/>
    <w:rsid w:val="00137EE8"/>
    <w:rsid w:val="0014152B"/>
    <w:rsid w:val="00141DF0"/>
    <w:rsid w:val="00142DB7"/>
    <w:rsid w:val="00143473"/>
    <w:rsid w:val="0014371F"/>
    <w:rsid w:val="001469C6"/>
    <w:rsid w:val="001473C6"/>
    <w:rsid w:val="00147D45"/>
    <w:rsid w:val="001505C8"/>
    <w:rsid w:val="00150F4B"/>
    <w:rsid w:val="0015103C"/>
    <w:rsid w:val="00152835"/>
    <w:rsid w:val="00152D84"/>
    <w:rsid w:val="00153A6E"/>
    <w:rsid w:val="00153E05"/>
    <w:rsid w:val="00154C06"/>
    <w:rsid w:val="0015539B"/>
    <w:rsid w:val="001578DE"/>
    <w:rsid w:val="00157938"/>
    <w:rsid w:val="00157A19"/>
    <w:rsid w:val="00161806"/>
    <w:rsid w:val="00162621"/>
    <w:rsid w:val="00164B5D"/>
    <w:rsid w:val="0016573D"/>
    <w:rsid w:val="00165C1A"/>
    <w:rsid w:val="001672FD"/>
    <w:rsid w:val="00167693"/>
    <w:rsid w:val="00170A7B"/>
    <w:rsid w:val="00170B49"/>
    <w:rsid w:val="00170CD4"/>
    <w:rsid w:val="001718F8"/>
    <w:rsid w:val="001722B6"/>
    <w:rsid w:val="0017235F"/>
    <w:rsid w:val="001724B3"/>
    <w:rsid w:val="001737A8"/>
    <w:rsid w:val="001746F2"/>
    <w:rsid w:val="00174A87"/>
    <w:rsid w:val="00175880"/>
    <w:rsid w:val="00175BF5"/>
    <w:rsid w:val="00175E38"/>
    <w:rsid w:val="0017634D"/>
    <w:rsid w:val="00177819"/>
    <w:rsid w:val="00181CA3"/>
    <w:rsid w:val="001821DA"/>
    <w:rsid w:val="001828DA"/>
    <w:rsid w:val="001835FB"/>
    <w:rsid w:val="0018388A"/>
    <w:rsid w:val="00183F16"/>
    <w:rsid w:val="00184B35"/>
    <w:rsid w:val="0018753B"/>
    <w:rsid w:val="001909C9"/>
    <w:rsid w:val="00191758"/>
    <w:rsid w:val="00192311"/>
    <w:rsid w:val="001948B5"/>
    <w:rsid w:val="00194A02"/>
    <w:rsid w:val="00194B13"/>
    <w:rsid w:val="00196F42"/>
    <w:rsid w:val="00197019"/>
    <w:rsid w:val="001973E9"/>
    <w:rsid w:val="001A18A8"/>
    <w:rsid w:val="001A1C94"/>
    <w:rsid w:val="001A3065"/>
    <w:rsid w:val="001A3385"/>
    <w:rsid w:val="001A40FF"/>
    <w:rsid w:val="001A4497"/>
    <w:rsid w:val="001A4817"/>
    <w:rsid w:val="001A49AE"/>
    <w:rsid w:val="001A5782"/>
    <w:rsid w:val="001A6EE7"/>
    <w:rsid w:val="001B0BE6"/>
    <w:rsid w:val="001B1526"/>
    <w:rsid w:val="001B163A"/>
    <w:rsid w:val="001B186D"/>
    <w:rsid w:val="001B21F8"/>
    <w:rsid w:val="001B274E"/>
    <w:rsid w:val="001B32FC"/>
    <w:rsid w:val="001B3AA7"/>
    <w:rsid w:val="001B3B2D"/>
    <w:rsid w:val="001B3FD0"/>
    <w:rsid w:val="001B4176"/>
    <w:rsid w:val="001B41BB"/>
    <w:rsid w:val="001B560B"/>
    <w:rsid w:val="001B5CFC"/>
    <w:rsid w:val="001B6071"/>
    <w:rsid w:val="001B6D66"/>
    <w:rsid w:val="001B6F17"/>
    <w:rsid w:val="001B7DB1"/>
    <w:rsid w:val="001C010B"/>
    <w:rsid w:val="001C187A"/>
    <w:rsid w:val="001C2061"/>
    <w:rsid w:val="001C385D"/>
    <w:rsid w:val="001C3977"/>
    <w:rsid w:val="001C6BF2"/>
    <w:rsid w:val="001C7CBC"/>
    <w:rsid w:val="001D0213"/>
    <w:rsid w:val="001D0315"/>
    <w:rsid w:val="001D03C6"/>
    <w:rsid w:val="001D07F8"/>
    <w:rsid w:val="001D3DB4"/>
    <w:rsid w:val="001D3DDC"/>
    <w:rsid w:val="001D3F53"/>
    <w:rsid w:val="001D519A"/>
    <w:rsid w:val="001D614B"/>
    <w:rsid w:val="001D6D96"/>
    <w:rsid w:val="001E0738"/>
    <w:rsid w:val="001E2DC5"/>
    <w:rsid w:val="001E301C"/>
    <w:rsid w:val="001E383E"/>
    <w:rsid w:val="001E3FF1"/>
    <w:rsid w:val="001E452A"/>
    <w:rsid w:val="001E5870"/>
    <w:rsid w:val="001E7017"/>
    <w:rsid w:val="001E706C"/>
    <w:rsid w:val="001E78C6"/>
    <w:rsid w:val="001F0255"/>
    <w:rsid w:val="001F1618"/>
    <w:rsid w:val="001F17F4"/>
    <w:rsid w:val="001F274C"/>
    <w:rsid w:val="001F3D81"/>
    <w:rsid w:val="001F42A8"/>
    <w:rsid w:val="001F48DF"/>
    <w:rsid w:val="002002B6"/>
    <w:rsid w:val="0020049E"/>
    <w:rsid w:val="0020157E"/>
    <w:rsid w:val="00202AAE"/>
    <w:rsid w:val="002030C3"/>
    <w:rsid w:val="00203E88"/>
    <w:rsid w:val="0020559C"/>
    <w:rsid w:val="00206408"/>
    <w:rsid w:val="00210264"/>
    <w:rsid w:val="00210617"/>
    <w:rsid w:val="00210D1C"/>
    <w:rsid w:val="00211480"/>
    <w:rsid w:val="002121BF"/>
    <w:rsid w:val="002123AB"/>
    <w:rsid w:val="00212F25"/>
    <w:rsid w:val="00213E75"/>
    <w:rsid w:val="002145B5"/>
    <w:rsid w:val="002149DA"/>
    <w:rsid w:val="00214EFE"/>
    <w:rsid w:val="002156D6"/>
    <w:rsid w:val="00215BFF"/>
    <w:rsid w:val="00216154"/>
    <w:rsid w:val="002172A8"/>
    <w:rsid w:val="0021792F"/>
    <w:rsid w:val="00220DCF"/>
    <w:rsid w:val="00221666"/>
    <w:rsid w:val="002224CD"/>
    <w:rsid w:val="0022468A"/>
    <w:rsid w:val="0022499B"/>
    <w:rsid w:val="002263FF"/>
    <w:rsid w:val="0022713C"/>
    <w:rsid w:val="00230E6A"/>
    <w:rsid w:val="0023147D"/>
    <w:rsid w:val="00231C85"/>
    <w:rsid w:val="00231F63"/>
    <w:rsid w:val="002329FB"/>
    <w:rsid w:val="00232EEB"/>
    <w:rsid w:val="00233462"/>
    <w:rsid w:val="002335E1"/>
    <w:rsid w:val="00233C5B"/>
    <w:rsid w:val="00233E61"/>
    <w:rsid w:val="00234387"/>
    <w:rsid w:val="00234541"/>
    <w:rsid w:val="0023498C"/>
    <w:rsid w:val="002349CA"/>
    <w:rsid w:val="00235949"/>
    <w:rsid w:val="00235FB8"/>
    <w:rsid w:val="0023608F"/>
    <w:rsid w:val="002365D8"/>
    <w:rsid w:val="00236D4B"/>
    <w:rsid w:val="00240025"/>
    <w:rsid w:val="00240D33"/>
    <w:rsid w:val="00241AE5"/>
    <w:rsid w:val="002422E1"/>
    <w:rsid w:val="0024285B"/>
    <w:rsid w:val="00243EE4"/>
    <w:rsid w:val="002441C1"/>
    <w:rsid w:val="00245460"/>
    <w:rsid w:val="00245A3D"/>
    <w:rsid w:val="00246A78"/>
    <w:rsid w:val="00247041"/>
    <w:rsid w:val="00247276"/>
    <w:rsid w:val="00247783"/>
    <w:rsid w:val="00250165"/>
    <w:rsid w:val="002504FF"/>
    <w:rsid w:val="0025229C"/>
    <w:rsid w:val="00256A25"/>
    <w:rsid w:val="00256C59"/>
    <w:rsid w:val="00257456"/>
    <w:rsid w:val="002575E4"/>
    <w:rsid w:val="00257A5C"/>
    <w:rsid w:val="00257A80"/>
    <w:rsid w:val="0026016D"/>
    <w:rsid w:val="00260ACA"/>
    <w:rsid w:val="002613AC"/>
    <w:rsid w:val="00261988"/>
    <w:rsid w:val="002619E6"/>
    <w:rsid w:val="00262AF8"/>
    <w:rsid w:val="002635ED"/>
    <w:rsid w:val="002638E8"/>
    <w:rsid w:val="00263AE4"/>
    <w:rsid w:val="00263DBB"/>
    <w:rsid w:val="002649DF"/>
    <w:rsid w:val="00264F88"/>
    <w:rsid w:val="00265EEC"/>
    <w:rsid w:val="0026621C"/>
    <w:rsid w:val="002662F9"/>
    <w:rsid w:val="00267410"/>
    <w:rsid w:val="00270B56"/>
    <w:rsid w:val="00271DDE"/>
    <w:rsid w:val="00272331"/>
    <w:rsid w:val="0027376B"/>
    <w:rsid w:val="002739A3"/>
    <w:rsid w:val="0027482D"/>
    <w:rsid w:val="00276827"/>
    <w:rsid w:val="0027746A"/>
    <w:rsid w:val="0028068C"/>
    <w:rsid w:val="00280887"/>
    <w:rsid w:val="002822FA"/>
    <w:rsid w:val="00282E93"/>
    <w:rsid w:val="00286335"/>
    <w:rsid w:val="002865DF"/>
    <w:rsid w:val="00286CF8"/>
    <w:rsid w:val="0028772C"/>
    <w:rsid w:val="002877A3"/>
    <w:rsid w:val="00287A6E"/>
    <w:rsid w:val="00290930"/>
    <w:rsid w:val="0029292D"/>
    <w:rsid w:val="002948AC"/>
    <w:rsid w:val="00295C1A"/>
    <w:rsid w:val="00296D1B"/>
    <w:rsid w:val="00297EA9"/>
    <w:rsid w:val="002A0D49"/>
    <w:rsid w:val="002A12E8"/>
    <w:rsid w:val="002A19B4"/>
    <w:rsid w:val="002A2C2C"/>
    <w:rsid w:val="002A2CF6"/>
    <w:rsid w:val="002A3234"/>
    <w:rsid w:val="002A33C9"/>
    <w:rsid w:val="002A37B0"/>
    <w:rsid w:val="002A443A"/>
    <w:rsid w:val="002A6F6F"/>
    <w:rsid w:val="002A7D8E"/>
    <w:rsid w:val="002B37A9"/>
    <w:rsid w:val="002B4CBE"/>
    <w:rsid w:val="002B6195"/>
    <w:rsid w:val="002B64F5"/>
    <w:rsid w:val="002B7154"/>
    <w:rsid w:val="002B76CB"/>
    <w:rsid w:val="002C0432"/>
    <w:rsid w:val="002C117A"/>
    <w:rsid w:val="002C195B"/>
    <w:rsid w:val="002C23BC"/>
    <w:rsid w:val="002C2F23"/>
    <w:rsid w:val="002C35A1"/>
    <w:rsid w:val="002C4540"/>
    <w:rsid w:val="002C5921"/>
    <w:rsid w:val="002C5A96"/>
    <w:rsid w:val="002C7323"/>
    <w:rsid w:val="002D09C4"/>
    <w:rsid w:val="002D0B27"/>
    <w:rsid w:val="002D0F4B"/>
    <w:rsid w:val="002D13A4"/>
    <w:rsid w:val="002D150C"/>
    <w:rsid w:val="002D1D31"/>
    <w:rsid w:val="002D31E3"/>
    <w:rsid w:val="002D3972"/>
    <w:rsid w:val="002D40B6"/>
    <w:rsid w:val="002D430C"/>
    <w:rsid w:val="002D4834"/>
    <w:rsid w:val="002D57BC"/>
    <w:rsid w:val="002E0F8B"/>
    <w:rsid w:val="002E2390"/>
    <w:rsid w:val="002E25D6"/>
    <w:rsid w:val="002E3824"/>
    <w:rsid w:val="002E3B37"/>
    <w:rsid w:val="002E4D80"/>
    <w:rsid w:val="002E5427"/>
    <w:rsid w:val="002E5456"/>
    <w:rsid w:val="002E55A3"/>
    <w:rsid w:val="002E5D20"/>
    <w:rsid w:val="002E6978"/>
    <w:rsid w:val="002F0AD2"/>
    <w:rsid w:val="002F2FE7"/>
    <w:rsid w:val="002F35C1"/>
    <w:rsid w:val="002F3693"/>
    <w:rsid w:val="002F4194"/>
    <w:rsid w:val="002F5284"/>
    <w:rsid w:val="002F53EF"/>
    <w:rsid w:val="002F62F6"/>
    <w:rsid w:val="002F6876"/>
    <w:rsid w:val="002F68B3"/>
    <w:rsid w:val="002F6E1B"/>
    <w:rsid w:val="00300467"/>
    <w:rsid w:val="00300C63"/>
    <w:rsid w:val="00300E86"/>
    <w:rsid w:val="0030112F"/>
    <w:rsid w:val="0030268F"/>
    <w:rsid w:val="00302935"/>
    <w:rsid w:val="00304811"/>
    <w:rsid w:val="0030552F"/>
    <w:rsid w:val="00306C44"/>
    <w:rsid w:val="003075F7"/>
    <w:rsid w:val="00307AD0"/>
    <w:rsid w:val="00310043"/>
    <w:rsid w:val="00310FF6"/>
    <w:rsid w:val="00311278"/>
    <w:rsid w:val="00312292"/>
    <w:rsid w:val="003128EB"/>
    <w:rsid w:val="00313372"/>
    <w:rsid w:val="00313E19"/>
    <w:rsid w:val="0031428D"/>
    <w:rsid w:val="0031434F"/>
    <w:rsid w:val="00314538"/>
    <w:rsid w:val="003153FD"/>
    <w:rsid w:val="00315A5C"/>
    <w:rsid w:val="00315BD6"/>
    <w:rsid w:val="00316653"/>
    <w:rsid w:val="0031718B"/>
    <w:rsid w:val="00321B32"/>
    <w:rsid w:val="00321E70"/>
    <w:rsid w:val="00322A25"/>
    <w:rsid w:val="00324020"/>
    <w:rsid w:val="0032421C"/>
    <w:rsid w:val="00324B41"/>
    <w:rsid w:val="00326327"/>
    <w:rsid w:val="00327255"/>
    <w:rsid w:val="0033012B"/>
    <w:rsid w:val="00330984"/>
    <w:rsid w:val="0033099F"/>
    <w:rsid w:val="00331103"/>
    <w:rsid w:val="00331D8A"/>
    <w:rsid w:val="00332D57"/>
    <w:rsid w:val="00333484"/>
    <w:rsid w:val="00334D04"/>
    <w:rsid w:val="00336D4E"/>
    <w:rsid w:val="00342796"/>
    <w:rsid w:val="00342F3A"/>
    <w:rsid w:val="00346659"/>
    <w:rsid w:val="0034797D"/>
    <w:rsid w:val="00350C31"/>
    <w:rsid w:val="00350F24"/>
    <w:rsid w:val="00352207"/>
    <w:rsid w:val="00352B36"/>
    <w:rsid w:val="00352CB7"/>
    <w:rsid w:val="00356D82"/>
    <w:rsid w:val="0035787D"/>
    <w:rsid w:val="00360522"/>
    <w:rsid w:val="003610B0"/>
    <w:rsid w:val="0036162E"/>
    <w:rsid w:val="00362650"/>
    <w:rsid w:val="00362AC2"/>
    <w:rsid w:val="00363818"/>
    <w:rsid w:val="00364565"/>
    <w:rsid w:val="00364864"/>
    <w:rsid w:val="003649A4"/>
    <w:rsid w:val="00364FDB"/>
    <w:rsid w:val="003650D0"/>
    <w:rsid w:val="00365D19"/>
    <w:rsid w:val="00367AFE"/>
    <w:rsid w:val="00367C5F"/>
    <w:rsid w:val="00367E74"/>
    <w:rsid w:val="00371E62"/>
    <w:rsid w:val="00371E6B"/>
    <w:rsid w:val="00372898"/>
    <w:rsid w:val="00373851"/>
    <w:rsid w:val="00374121"/>
    <w:rsid w:val="0037427B"/>
    <w:rsid w:val="00374481"/>
    <w:rsid w:val="0037619E"/>
    <w:rsid w:val="0037663D"/>
    <w:rsid w:val="0037749B"/>
    <w:rsid w:val="00380C60"/>
    <w:rsid w:val="00381021"/>
    <w:rsid w:val="003812F1"/>
    <w:rsid w:val="003817EC"/>
    <w:rsid w:val="00383E48"/>
    <w:rsid w:val="00386263"/>
    <w:rsid w:val="003873AD"/>
    <w:rsid w:val="0038743F"/>
    <w:rsid w:val="00390249"/>
    <w:rsid w:val="003902C1"/>
    <w:rsid w:val="00390307"/>
    <w:rsid w:val="00391370"/>
    <w:rsid w:val="00391680"/>
    <w:rsid w:val="00392B69"/>
    <w:rsid w:val="00392DEF"/>
    <w:rsid w:val="00393BAC"/>
    <w:rsid w:val="00394319"/>
    <w:rsid w:val="00395BA3"/>
    <w:rsid w:val="00396117"/>
    <w:rsid w:val="00397F8B"/>
    <w:rsid w:val="003A0928"/>
    <w:rsid w:val="003A1FBE"/>
    <w:rsid w:val="003A2621"/>
    <w:rsid w:val="003A3364"/>
    <w:rsid w:val="003A45C1"/>
    <w:rsid w:val="003A5B74"/>
    <w:rsid w:val="003A748D"/>
    <w:rsid w:val="003A7B25"/>
    <w:rsid w:val="003B0F9A"/>
    <w:rsid w:val="003B12D8"/>
    <w:rsid w:val="003B162C"/>
    <w:rsid w:val="003B19A4"/>
    <w:rsid w:val="003B486B"/>
    <w:rsid w:val="003B4FBA"/>
    <w:rsid w:val="003B5AD9"/>
    <w:rsid w:val="003B68FD"/>
    <w:rsid w:val="003B7853"/>
    <w:rsid w:val="003C0B8B"/>
    <w:rsid w:val="003C147C"/>
    <w:rsid w:val="003C1A50"/>
    <w:rsid w:val="003C21A7"/>
    <w:rsid w:val="003C2705"/>
    <w:rsid w:val="003C2BE1"/>
    <w:rsid w:val="003C2FA7"/>
    <w:rsid w:val="003C30F6"/>
    <w:rsid w:val="003C3224"/>
    <w:rsid w:val="003C4042"/>
    <w:rsid w:val="003C4E27"/>
    <w:rsid w:val="003C52C2"/>
    <w:rsid w:val="003C565A"/>
    <w:rsid w:val="003C56CE"/>
    <w:rsid w:val="003C59A8"/>
    <w:rsid w:val="003C6433"/>
    <w:rsid w:val="003C6A16"/>
    <w:rsid w:val="003C6EAD"/>
    <w:rsid w:val="003D00E1"/>
    <w:rsid w:val="003D270B"/>
    <w:rsid w:val="003D27DD"/>
    <w:rsid w:val="003D395C"/>
    <w:rsid w:val="003D41BE"/>
    <w:rsid w:val="003D49F5"/>
    <w:rsid w:val="003D4BC9"/>
    <w:rsid w:val="003D56F7"/>
    <w:rsid w:val="003D64C6"/>
    <w:rsid w:val="003D6CF2"/>
    <w:rsid w:val="003E0939"/>
    <w:rsid w:val="003E0DF9"/>
    <w:rsid w:val="003E2BCC"/>
    <w:rsid w:val="003E3AF9"/>
    <w:rsid w:val="003E3BA2"/>
    <w:rsid w:val="003E3E5A"/>
    <w:rsid w:val="003E3F13"/>
    <w:rsid w:val="003E50F1"/>
    <w:rsid w:val="003E66CD"/>
    <w:rsid w:val="003E6B31"/>
    <w:rsid w:val="003E7C08"/>
    <w:rsid w:val="003F05B7"/>
    <w:rsid w:val="003F0A88"/>
    <w:rsid w:val="003F105A"/>
    <w:rsid w:val="003F1137"/>
    <w:rsid w:val="003F1958"/>
    <w:rsid w:val="003F288C"/>
    <w:rsid w:val="003F35E8"/>
    <w:rsid w:val="003F3B66"/>
    <w:rsid w:val="003F4041"/>
    <w:rsid w:val="003F487B"/>
    <w:rsid w:val="003F50B0"/>
    <w:rsid w:val="003F597E"/>
    <w:rsid w:val="003F6F2B"/>
    <w:rsid w:val="00400E6E"/>
    <w:rsid w:val="00400F4E"/>
    <w:rsid w:val="00402429"/>
    <w:rsid w:val="00402F7A"/>
    <w:rsid w:val="00403F91"/>
    <w:rsid w:val="004040B1"/>
    <w:rsid w:val="00404DC4"/>
    <w:rsid w:val="0040614C"/>
    <w:rsid w:val="00406EC6"/>
    <w:rsid w:val="00406F91"/>
    <w:rsid w:val="00407116"/>
    <w:rsid w:val="00407E18"/>
    <w:rsid w:val="00411972"/>
    <w:rsid w:val="00411C3F"/>
    <w:rsid w:val="00411CEE"/>
    <w:rsid w:val="0041239D"/>
    <w:rsid w:val="00412B8A"/>
    <w:rsid w:val="004145A9"/>
    <w:rsid w:val="004155C4"/>
    <w:rsid w:val="0041595E"/>
    <w:rsid w:val="0041665B"/>
    <w:rsid w:val="00417609"/>
    <w:rsid w:val="00417CCD"/>
    <w:rsid w:val="00420033"/>
    <w:rsid w:val="00420852"/>
    <w:rsid w:val="004238B6"/>
    <w:rsid w:val="0042400B"/>
    <w:rsid w:val="004246B5"/>
    <w:rsid w:val="00426A86"/>
    <w:rsid w:val="00426AED"/>
    <w:rsid w:val="00426F49"/>
    <w:rsid w:val="00427C12"/>
    <w:rsid w:val="00427F4E"/>
    <w:rsid w:val="004303C1"/>
    <w:rsid w:val="00430A13"/>
    <w:rsid w:val="00431336"/>
    <w:rsid w:val="00432834"/>
    <w:rsid w:val="00433C9B"/>
    <w:rsid w:val="004343E7"/>
    <w:rsid w:val="00434461"/>
    <w:rsid w:val="00435419"/>
    <w:rsid w:val="004372BC"/>
    <w:rsid w:val="004409A2"/>
    <w:rsid w:val="00443546"/>
    <w:rsid w:val="00445F68"/>
    <w:rsid w:val="00446459"/>
    <w:rsid w:val="00447036"/>
    <w:rsid w:val="0044731D"/>
    <w:rsid w:val="00447568"/>
    <w:rsid w:val="004513BE"/>
    <w:rsid w:val="00451EFF"/>
    <w:rsid w:val="00452F73"/>
    <w:rsid w:val="00453BB1"/>
    <w:rsid w:val="00454212"/>
    <w:rsid w:val="0045593A"/>
    <w:rsid w:val="0045603C"/>
    <w:rsid w:val="00460967"/>
    <w:rsid w:val="00461345"/>
    <w:rsid w:val="00461C10"/>
    <w:rsid w:val="00461C99"/>
    <w:rsid w:val="00462117"/>
    <w:rsid w:val="004625D5"/>
    <w:rsid w:val="00462680"/>
    <w:rsid w:val="00462A57"/>
    <w:rsid w:val="00462CE0"/>
    <w:rsid w:val="004631E6"/>
    <w:rsid w:val="0046369B"/>
    <w:rsid w:val="00463F64"/>
    <w:rsid w:val="0046464D"/>
    <w:rsid w:val="00464C23"/>
    <w:rsid w:val="004668C8"/>
    <w:rsid w:val="0046699E"/>
    <w:rsid w:val="00466F74"/>
    <w:rsid w:val="004679C1"/>
    <w:rsid w:val="004707E7"/>
    <w:rsid w:val="00470A1F"/>
    <w:rsid w:val="00471F18"/>
    <w:rsid w:val="00472339"/>
    <w:rsid w:val="00473D82"/>
    <w:rsid w:val="00473DFC"/>
    <w:rsid w:val="00474F15"/>
    <w:rsid w:val="00476D13"/>
    <w:rsid w:val="00480088"/>
    <w:rsid w:val="00480C61"/>
    <w:rsid w:val="00481205"/>
    <w:rsid w:val="0048140B"/>
    <w:rsid w:val="00481466"/>
    <w:rsid w:val="00481AF8"/>
    <w:rsid w:val="0048226A"/>
    <w:rsid w:val="004826AE"/>
    <w:rsid w:val="004826F9"/>
    <w:rsid w:val="00482FD3"/>
    <w:rsid w:val="00483776"/>
    <w:rsid w:val="00484B5E"/>
    <w:rsid w:val="00484D0E"/>
    <w:rsid w:val="00485128"/>
    <w:rsid w:val="004863EB"/>
    <w:rsid w:val="00490295"/>
    <w:rsid w:val="00490E89"/>
    <w:rsid w:val="004920E8"/>
    <w:rsid w:val="0049514F"/>
    <w:rsid w:val="00495318"/>
    <w:rsid w:val="00496EB6"/>
    <w:rsid w:val="004A02AB"/>
    <w:rsid w:val="004A2CE6"/>
    <w:rsid w:val="004A2D32"/>
    <w:rsid w:val="004A33CE"/>
    <w:rsid w:val="004A34DD"/>
    <w:rsid w:val="004A3BEC"/>
    <w:rsid w:val="004A45AD"/>
    <w:rsid w:val="004A4FC6"/>
    <w:rsid w:val="004A60C6"/>
    <w:rsid w:val="004A6876"/>
    <w:rsid w:val="004B0DAE"/>
    <w:rsid w:val="004B1992"/>
    <w:rsid w:val="004B37FF"/>
    <w:rsid w:val="004B4FBD"/>
    <w:rsid w:val="004B649D"/>
    <w:rsid w:val="004B6CCE"/>
    <w:rsid w:val="004B748E"/>
    <w:rsid w:val="004B75AD"/>
    <w:rsid w:val="004B77E3"/>
    <w:rsid w:val="004C1FE4"/>
    <w:rsid w:val="004C3D57"/>
    <w:rsid w:val="004C6451"/>
    <w:rsid w:val="004C6C8F"/>
    <w:rsid w:val="004C6D29"/>
    <w:rsid w:val="004C6E5B"/>
    <w:rsid w:val="004D01A6"/>
    <w:rsid w:val="004D109F"/>
    <w:rsid w:val="004D2D6C"/>
    <w:rsid w:val="004D3E01"/>
    <w:rsid w:val="004D3E12"/>
    <w:rsid w:val="004D4E5D"/>
    <w:rsid w:val="004D5370"/>
    <w:rsid w:val="004D5DFF"/>
    <w:rsid w:val="004D6F4F"/>
    <w:rsid w:val="004D7AE7"/>
    <w:rsid w:val="004E06B0"/>
    <w:rsid w:val="004E15DE"/>
    <w:rsid w:val="004E2D2B"/>
    <w:rsid w:val="004E61BC"/>
    <w:rsid w:val="004E721F"/>
    <w:rsid w:val="004E7422"/>
    <w:rsid w:val="004F0AE3"/>
    <w:rsid w:val="004F1013"/>
    <w:rsid w:val="004F1E76"/>
    <w:rsid w:val="004F2D17"/>
    <w:rsid w:val="004F36F4"/>
    <w:rsid w:val="004F3D82"/>
    <w:rsid w:val="004F42C4"/>
    <w:rsid w:val="004F44FD"/>
    <w:rsid w:val="004F4D48"/>
    <w:rsid w:val="004F4D79"/>
    <w:rsid w:val="004F5F55"/>
    <w:rsid w:val="004F6694"/>
    <w:rsid w:val="004F6A9C"/>
    <w:rsid w:val="004F72E4"/>
    <w:rsid w:val="004F7EFC"/>
    <w:rsid w:val="00501E54"/>
    <w:rsid w:val="00502B61"/>
    <w:rsid w:val="00503CA4"/>
    <w:rsid w:val="00503D81"/>
    <w:rsid w:val="00503FD1"/>
    <w:rsid w:val="00504384"/>
    <w:rsid w:val="00504BA0"/>
    <w:rsid w:val="00505843"/>
    <w:rsid w:val="00506D28"/>
    <w:rsid w:val="00506DF1"/>
    <w:rsid w:val="00507233"/>
    <w:rsid w:val="00510A66"/>
    <w:rsid w:val="00511F19"/>
    <w:rsid w:val="0051236C"/>
    <w:rsid w:val="00514AA1"/>
    <w:rsid w:val="005150B1"/>
    <w:rsid w:val="005174A9"/>
    <w:rsid w:val="005210C6"/>
    <w:rsid w:val="00521B94"/>
    <w:rsid w:val="00523F71"/>
    <w:rsid w:val="00523FA3"/>
    <w:rsid w:val="00524E8E"/>
    <w:rsid w:val="005258AE"/>
    <w:rsid w:val="00526BDF"/>
    <w:rsid w:val="00530465"/>
    <w:rsid w:val="0053084E"/>
    <w:rsid w:val="00531FB9"/>
    <w:rsid w:val="00532AC1"/>
    <w:rsid w:val="0053309A"/>
    <w:rsid w:val="00533EBB"/>
    <w:rsid w:val="0053427B"/>
    <w:rsid w:val="00534DA6"/>
    <w:rsid w:val="00535CD2"/>
    <w:rsid w:val="005367C3"/>
    <w:rsid w:val="005426EA"/>
    <w:rsid w:val="005427F3"/>
    <w:rsid w:val="0054282B"/>
    <w:rsid w:val="005439DC"/>
    <w:rsid w:val="00543CF3"/>
    <w:rsid w:val="00544E9E"/>
    <w:rsid w:val="005466DA"/>
    <w:rsid w:val="00546CCC"/>
    <w:rsid w:val="00550C56"/>
    <w:rsid w:val="00552546"/>
    <w:rsid w:val="00552A3F"/>
    <w:rsid w:val="00553019"/>
    <w:rsid w:val="005539FC"/>
    <w:rsid w:val="00554F32"/>
    <w:rsid w:val="00555008"/>
    <w:rsid w:val="0055599D"/>
    <w:rsid w:val="00555C5E"/>
    <w:rsid w:val="00556C06"/>
    <w:rsid w:val="00557E69"/>
    <w:rsid w:val="00560F39"/>
    <w:rsid w:val="00561699"/>
    <w:rsid w:val="00561DF0"/>
    <w:rsid w:val="005632F0"/>
    <w:rsid w:val="0056473C"/>
    <w:rsid w:val="00565378"/>
    <w:rsid w:val="00565A25"/>
    <w:rsid w:val="00566F05"/>
    <w:rsid w:val="0056762B"/>
    <w:rsid w:val="0056780C"/>
    <w:rsid w:val="00570165"/>
    <w:rsid w:val="00571821"/>
    <w:rsid w:val="00573452"/>
    <w:rsid w:val="00574226"/>
    <w:rsid w:val="0057493B"/>
    <w:rsid w:val="005754C8"/>
    <w:rsid w:val="005766AE"/>
    <w:rsid w:val="00576C79"/>
    <w:rsid w:val="00577F4F"/>
    <w:rsid w:val="00580D29"/>
    <w:rsid w:val="00581049"/>
    <w:rsid w:val="00581408"/>
    <w:rsid w:val="0058198D"/>
    <w:rsid w:val="00581AC8"/>
    <w:rsid w:val="00581BE2"/>
    <w:rsid w:val="00582178"/>
    <w:rsid w:val="005827A7"/>
    <w:rsid w:val="00583D3C"/>
    <w:rsid w:val="005840EE"/>
    <w:rsid w:val="00584361"/>
    <w:rsid w:val="005845D2"/>
    <w:rsid w:val="00584954"/>
    <w:rsid w:val="005849B7"/>
    <w:rsid w:val="00587126"/>
    <w:rsid w:val="00587A34"/>
    <w:rsid w:val="00591C8E"/>
    <w:rsid w:val="00591FC1"/>
    <w:rsid w:val="00592756"/>
    <w:rsid w:val="005931C2"/>
    <w:rsid w:val="00594DF6"/>
    <w:rsid w:val="00595350"/>
    <w:rsid w:val="00595A2D"/>
    <w:rsid w:val="0059638C"/>
    <w:rsid w:val="00596C47"/>
    <w:rsid w:val="00597117"/>
    <w:rsid w:val="005A03A2"/>
    <w:rsid w:val="005A1B3D"/>
    <w:rsid w:val="005A28F8"/>
    <w:rsid w:val="005A307B"/>
    <w:rsid w:val="005A33BC"/>
    <w:rsid w:val="005A436D"/>
    <w:rsid w:val="005A5BB1"/>
    <w:rsid w:val="005A6A86"/>
    <w:rsid w:val="005A6C89"/>
    <w:rsid w:val="005A7256"/>
    <w:rsid w:val="005B0737"/>
    <w:rsid w:val="005B0F50"/>
    <w:rsid w:val="005B2401"/>
    <w:rsid w:val="005B4F88"/>
    <w:rsid w:val="005B57E3"/>
    <w:rsid w:val="005B7309"/>
    <w:rsid w:val="005C0132"/>
    <w:rsid w:val="005C0A9C"/>
    <w:rsid w:val="005C1C02"/>
    <w:rsid w:val="005C1C67"/>
    <w:rsid w:val="005C2433"/>
    <w:rsid w:val="005C245C"/>
    <w:rsid w:val="005C2DAF"/>
    <w:rsid w:val="005C3F15"/>
    <w:rsid w:val="005C4038"/>
    <w:rsid w:val="005C41CF"/>
    <w:rsid w:val="005C43F5"/>
    <w:rsid w:val="005C44F5"/>
    <w:rsid w:val="005C4A2E"/>
    <w:rsid w:val="005C602B"/>
    <w:rsid w:val="005C6CAE"/>
    <w:rsid w:val="005C71F2"/>
    <w:rsid w:val="005C7848"/>
    <w:rsid w:val="005D12A2"/>
    <w:rsid w:val="005D154B"/>
    <w:rsid w:val="005D2618"/>
    <w:rsid w:val="005D2644"/>
    <w:rsid w:val="005D3043"/>
    <w:rsid w:val="005D5443"/>
    <w:rsid w:val="005D7711"/>
    <w:rsid w:val="005E046A"/>
    <w:rsid w:val="005E2442"/>
    <w:rsid w:val="005E34BD"/>
    <w:rsid w:val="005E6626"/>
    <w:rsid w:val="005E6B1C"/>
    <w:rsid w:val="005E72BA"/>
    <w:rsid w:val="005E751F"/>
    <w:rsid w:val="005F0EB7"/>
    <w:rsid w:val="005F1928"/>
    <w:rsid w:val="005F1943"/>
    <w:rsid w:val="005F1EAE"/>
    <w:rsid w:val="005F295B"/>
    <w:rsid w:val="005F33F5"/>
    <w:rsid w:val="005F3619"/>
    <w:rsid w:val="005F3CD7"/>
    <w:rsid w:val="005F548E"/>
    <w:rsid w:val="005F5AFC"/>
    <w:rsid w:val="005F6D5B"/>
    <w:rsid w:val="005F720D"/>
    <w:rsid w:val="005F7410"/>
    <w:rsid w:val="005F7D12"/>
    <w:rsid w:val="00601E6D"/>
    <w:rsid w:val="006024BD"/>
    <w:rsid w:val="006024EE"/>
    <w:rsid w:val="00603D0D"/>
    <w:rsid w:val="006045AB"/>
    <w:rsid w:val="00604E7A"/>
    <w:rsid w:val="00605C36"/>
    <w:rsid w:val="00605C49"/>
    <w:rsid w:val="00606133"/>
    <w:rsid w:val="00606CD4"/>
    <w:rsid w:val="0060767D"/>
    <w:rsid w:val="00611055"/>
    <w:rsid w:val="006114E5"/>
    <w:rsid w:val="006129E2"/>
    <w:rsid w:val="006130A2"/>
    <w:rsid w:val="00613803"/>
    <w:rsid w:val="00613A2C"/>
    <w:rsid w:val="006153CC"/>
    <w:rsid w:val="006156AB"/>
    <w:rsid w:val="0061574E"/>
    <w:rsid w:val="00615F49"/>
    <w:rsid w:val="00616811"/>
    <w:rsid w:val="006168C1"/>
    <w:rsid w:val="0061745B"/>
    <w:rsid w:val="006200CA"/>
    <w:rsid w:val="00620346"/>
    <w:rsid w:val="006207A0"/>
    <w:rsid w:val="00621127"/>
    <w:rsid w:val="00621E99"/>
    <w:rsid w:val="00622A2D"/>
    <w:rsid w:val="006233C7"/>
    <w:rsid w:val="006234A9"/>
    <w:rsid w:val="00623A88"/>
    <w:rsid w:val="00624EE7"/>
    <w:rsid w:val="006253AF"/>
    <w:rsid w:val="00625EA2"/>
    <w:rsid w:val="00626E5E"/>
    <w:rsid w:val="006276A0"/>
    <w:rsid w:val="00627776"/>
    <w:rsid w:val="00630116"/>
    <w:rsid w:val="006305FA"/>
    <w:rsid w:val="0063074D"/>
    <w:rsid w:val="00630F09"/>
    <w:rsid w:val="00630F8E"/>
    <w:rsid w:val="00631177"/>
    <w:rsid w:val="006318E5"/>
    <w:rsid w:val="0063194E"/>
    <w:rsid w:val="006335CD"/>
    <w:rsid w:val="00633C20"/>
    <w:rsid w:val="00635531"/>
    <w:rsid w:val="00635B8A"/>
    <w:rsid w:val="00636576"/>
    <w:rsid w:val="006365C7"/>
    <w:rsid w:val="00636AFD"/>
    <w:rsid w:val="00636B9A"/>
    <w:rsid w:val="00640D47"/>
    <w:rsid w:val="0064108E"/>
    <w:rsid w:val="00641C7E"/>
    <w:rsid w:val="00641C90"/>
    <w:rsid w:val="006433AA"/>
    <w:rsid w:val="00643EC5"/>
    <w:rsid w:val="006444AC"/>
    <w:rsid w:val="00644924"/>
    <w:rsid w:val="006450AC"/>
    <w:rsid w:val="006454E5"/>
    <w:rsid w:val="00645955"/>
    <w:rsid w:val="00645AC0"/>
    <w:rsid w:val="00647538"/>
    <w:rsid w:val="00647697"/>
    <w:rsid w:val="006523EC"/>
    <w:rsid w:val="00652478"/>
    <w:rsid w:val="006528D1"/>
    <w:rsid w:val="00653B0B"/>
    <w:rsid w:val="006544D5"/>
    <w:rsid w:val="006550A3"/>
    <w:rsid w:val="0065544C"/>
    <w:rsid w:val="006572A7"/>
    <w:rsid w:val="00660001"/>
    <w:rsid w:val="006606B2"/>
    <w:rsid w:val="00660CDF"/>
    <w:rsid w:val="0066118D"/>
    <w:rsid w:val="0066339A"/>
    <w:rsid w:val="0066496E"/>
    <w:rsid w:val="00664DEE"/>
    <w:rsid w:val="00664FAE"/>
    <w:rsid w:val="006650C6"/>
    <w:rsid w:val="0066624A"/>
    <w:rsid w:val="00666E69"/>
    <w:rsid w:val="00667A24"/>
    <w:rsid w:val="00667BEF"/>
    <w:rsid w:val="00670227"/>
    <w:rsid w:val="006707D5"/>
    <w:rsid w:val="00671DB6"/>
    <w:rsid w:val="00671F7F"/>
    <w:rsid w:val="00672FC1"/>
    <w:rsid w:val="00673361"/>
    <w:rsid w:val="0067454F"/>
    <w:rsid w:val="00674F43"/>
    <w:rsid w:val="00675F2D"/>
    <w:rsid w:val="00676B6C"/>
    <w:rsid w:val="0067727B"/>
    <w:rsid w:val="00677868"/>
    <w:rsid w:val="00677E6E"/>
    <w:rsid w:val="00680A82"/>
    <w:rsid w:val="00682923"/>
    <w:rsid w:val="00682D8F"/>
    <w:rsid w:val="006847F3"/>
    <w:rsid w:val="0068531F"/>
    <w:rsid w:val="006861BE"/>
    <w:rsid w:val="006871B0"/>
    <w:rsid w:val="00687482"/>
    <w:rsid w:val="00687BD8"/>
    <w:rsid w:val="00691006"/>
    <w:rsid w:val="006914D4"/>
    <w:rsid w:val="00691A39"/>
    <w:rsid w:val="006923A8"/>
    <w:rsid w:val="006927DF"/>
    <w:rsid w:val="00692FD2"/>
    <w:rsid w:val="00694BA7"/>
    <w:rsid w:val="00694CAD"/>
    <w:rsid w:val="00695046"/>
    <w:rsid w:val="006960BB"/>
    <w:rsid w:val="006963CB"/>
    <w:rsid w:val="00696E07"/>
    <w:rsid w:val="006A14FB"/>
    <w:rsid w:val="006A3736"/>
    <w:rsid w:val="006A4027"/>
    <w:rsid w:val="006A420E"/>
    <w:rsid w:val="006A4997"/>
    <w:rsid w:val="006B0039"/>
    <w:rsid w:val="006B03CE"/>
    <w:rsid w:val="006B0A48"/>
    <w:rsid w:val="006B0BBD"/>
    <w:rsid w:val="006B2C0F"/>
    <w:rsid w:val="006B3472"/>
    <w:rsid w:val="006B4449"/>
    <w:rsid w:val="006B488C"/>
    <w:rsid w:val="006B4E6C"/>
    <w:rsid w:val="006B5F74"/>
    <w:rsid w:val="006B6FB9"/>
    <w:rsid w:val="006B722D"/>
    <w:rsid w:val="006B7991"/>
    <w:rsid w:val="006C0495"/>
    <w:rsid w:val="006C062B"/>
    <w:rsid w:val="006C0764"/>
    <w:rsid w:val="006C0822"/>
    <w:rsid w:val="006C2AA4"/>
    <w:rsid w:val="006C4434"/>
    <w:rsid w:val="006C4AD5"/>
    <w:rsid w:val="006C552C"/>
    <w:rsid w:val="006C6CE2"/>
    <w:rsid w:val="006C761E"/>
    <w:rsid w:val="006C78B5"/>
    <w:rsid w:val="006D1248"/>
    <w:rsid w:val="006D12E6"/>
    <w:rsid w:val="006D1944"/>
    <w:rsid w:val="006D1DFE"/>
    <w:rsid w:val="006D2EC1"/>
    <w:rsid w:val="006D46C6"/>
    <w:rsid w:val="006D5279"/>
    <w:rsid w:val="006D54BD"/>
    <w:rsid w:val="006D756D"/>
    <w:rsid w:val="006D7A91"/>
    <w:rsid w:val="006D7B07"/>
    <w:rsid w:val="006E0B43"/>
    <w:rsid w:val="006E1C2B"/>
    <w:rsid w:val="006E2EBB"/>
    <w:rsid w:val="006E3EFB"/>
    <w:rsid w:val="006E51FD"/>
    <w:rsid w:val="006E6037"/>
    <w:rsid w:val="006E6CB3"/>
    <w:rsid w:val="006F1F2D"/>
    <w:rsid w:val="006F20A9"/>
    <w:rsid w:val="006F2471"/>
    <w:rsid w:val="006F2575"/>
    <w:rsid w:val="006F2DCF"/>
    <w:rsid w:val="006F3933"/>
    <w:rsid w:val="006F3AFF"/>
    <w:rsid w:val="006F48BA"/>
    <w:rsid w:val="006F4AD8"/>
    <w:rsid w:val="006F54CA"/>
    <w:rsid w:val="006F5800"/>
    <w:rsid w:val="006F7178"/>
    <w:rsid w:val="006F781E"/>
    <w:rsid w:val="006F79E8"/>
    <w:rsid w:val="006F7A46"/>
    <w:rsid w:val="00700229"/>
    <w:rsid w:val="007003A0"/>
    <w:rsid w:val="00701502"/>
    <w:rsid w:val="00701811"/>
    <w:rsid w:val="00701CD7"/>
    <w:rsid w:val="00701CE9"/>
    <w:rsid w:val="00702293"/>
    <w:rsid w:val="007029B2"/>
    <w:rsid w:val="00703552"/>
    <w:rsid w:val="00704325"/>
    <w:rsid w:val="00704E6C"/>
    <w:rsid w:val="007058CB"/>
    <w:rsid w:val="00706410"/>
    <w:rsid w:val="007070A8"/>
    <w:rsid w:val="00710367"/>
    <w:rsid w:val="007109A9"/>
    <w:rsid w:val="00711FE1"/>
    <w:rsid w:val="007129AD"/>
    <w:rsid w:val="00712A40"/>
    <w:rsid w:val="00712CA3"/>
    <w:rsid w:val="007146B9"/>
    <w:rsid w:val="00715388"/>
    <w:rsid w:val="007157E2"/>
    <w:rsid w:val="00715D4F"/>
    <w:rsid w:val="00716623"/>
    <w:rsid w:val="00717907"/>
    <w:rsid w:val="00721067"/>
    <w:rsid w:val="0072111F"/>
    <w:rsid w:val="0072157A"/>
    <w:rsid w:val="0072226F"/>
    <w:rsid w:val="00722287"/>
    <w:rsid w:val="007235FA"/>
    <w:rsid w:val="00723853"/>
    <w:rsid w:val="00723E20"/>
    <w:rsid w:val="0072508F"/>
    <w:rsid w:val="007252DD"/>
    <w:rsid w:val="00725599"/>
    <w:rsid w:val="0072586C"/>
    <w:rsid w:val="007265D8"/>
    <w:rsid w:val="00726899"/>
    <w:rsid w:val="00727497"/>
    <w:rsid w:val="007317DA"/>
    <w:rsid w:val="007329EE"/>
    <w:rsid w:val="00732AE9"/>
    <w:rsid w:val="00733A48"/>
    <w:rsid w:val="00733F49"/>
    <w:rsid w:val="00735E82"/>
    <w:rsid w:val="007362DB"/>
    <w:rsid w:val="0073633F"/>
    <w:rsid w:val="00736363"/>
    <w:rsid w:val="00736691"/>
    <w:rsid w:val="00737196"/>
    <w:rsid w:val="007371CE"/>
    <w:rsid w:val="007400F7"/>
    <w:rsid w:val="00740529"/>
    <w:rsid w:val="00740548"/>
    <w:rsid w:val="00742167"/>
    <w:rsid w:val="007429B1"/>
    <w:rsid w:val="00742A09"/>
    <w:rsid w:val="00742B2F"/>
    <w:rsid w:val="007430AE"/>
    <w:rsid w:val="00743115"/>
    <w:rsid w:val="007434C9"/>
    <w:rsid w:val="00743700"/>
    <w:rsid w:val="00744ABF"/>
    <w:rsid w:val="00744FB9"/>
    <w:rsid w:val="0074510D"/>
    <w:rsid w:val="00746432"/>
    <w:rsid w:val="00746C78"/>
    <w:rsid w:val="007502A8"/>
    <w:rsid w:val="0075033E"/>
    <w:rsid w:val="00750395"/>
    <w:rsid w:val="0075041E"/>
    <w:rsid w:val="00750C5C"/>
    <w:rsid w:val="007515BA"/>
    <w:rsid w:val="00751D7F"/>
    <w:rsid w:val="007525F5"/>
    <w:rsid w:val="00752FC5"/>
    <w:rsid w:val="00753A86"/>
    <w:rsid w:val="00753B74"/>
    <w:rsid w:val="00754346"/>
    <w:rsid w:val="007544B1"/>
    <w:rsid w:val="0075510B"/>
    <w:rsid w:val="00755591"/>
    <w:rsid w:val="007555BA"/>
    <w:rsid w:val="007558AD"/>
    <w:rsid w:val="007558D1"/>
    <w:rsid w:val="00757EA3"/>
    <w:rsid w:val="00760766"/>
    <w:rsid w:val="00760C79"/>
    <w:rsid w:val="00763837"/>
    <w:rsid w:val="00763A1F"/>
    <w:rsid w:val="007657C1"/>
    <w:rsid w:val="00766727"/>
    <w:rsid w:val="0076737E"/>
    <w:rsid w:val="00771A55"/>
    <w:rsid w:val="007721D2"/>
    <w:rsid w:val="00772FB0"/>
    <w:rsid w:val="007730F5"/>
    <w:rsid w:val="0077391A"/>
    <w:rsid w:val="0077392B"/>
    <w:rsid w:val="007759B6"/>
    <w:rsid w:val="00775AA2"/>
    <w:rsid w:val="00776E72"/>
    <w:rsid w:val="0077710F"/>
    <w:rsid w:val="0078027F"/>
    <w:rsid w:val="00781CF9"/>
    <w:rsid w:val="00782347"/>
    <w:rsid w:val="007833B7"/>
    <w:rsid w:val="0078632D"/>
    <w:rsid w:val="007906D3"/>
    <w:rsid w:val="00791BDF"/>
    <w:rsid w:val="00791D60"/>
    <w:rsid w:val="00792407"/>
    <w:rsid w:val="007929B9"/>
    <w:rsid w:val="00792CBC"/>
    <w:rsid w:val="007934C9"/>
    <w:rsid w:val="00794607"/>
    <w:rsid w:val="0079717D"/>
    <w:rsid w:val="007974F2"/>
    <w:rsid w:val="007979EA"/>
    <w:rsid w:val="00797D6F"/>
    <w:rsid w:val="007A062A"/>
    <w:rsid w:val="007A09D6"/>
    <w:rsid w:val="007A2C89"/>
    <w:rsid w:val="007A33DF"/>
    <w:rsid w:val="007A3473"/>
    <w:rsid w:val="007A3A86"/>
    <w:rsid w:val="007A5B7C"/>
    <w:rsid w:val="007A604D"/>
    <w:rsid w:val="007A6772"/>
    <w:rsid w:val="007A6C43"/>
    <w:rsid w:val="007A718B"/>
    <w:rsid w:val="007B0E30"/>
    <w:rsid w:val="007B10A6"/>
    <w:rsid w:val="007B18F3"/>
    <w:rsid w:val="007B30CA"/>
    <w:rsid w:val="007B3396"/>
    <w:rsid w:val="007B35B9"/>
    <w:rsid w:val="007B35C3"/>
    <w:rsid w:val="007B36E4"/>
    <w:rsid w:val="007B3819"/>
    <w:rsid w:val="007B3997"/>
    <w:rsid w:val="007B4135"/>
    <w:rsid w:val="007B41D5"/>
    <w:rsid w:val="007B523A"/>
    <w:rsid w:val="007B5ECB"/>
    <w:rsid w:val="007B6249"/>
    <w:rsid w:val="007B6481"/>
    <w:rsid w:val="007B68BD"/>
    <w:rsid w:val="007B7219"/>
    <w:rsid w:val="007B7750"/>
    <w:rsid w:val="007C04EB"/>
    <w:rsid w:val="007C1837"/>
    <w:rsid w:val="007C1DE4"/>
    <w:rsid w:val="007C2322"/>
    <w:rsid w:val="007C277A"/>
    <w:rsid w:val="007C358F"/>
    <w:rsid w:val="007C42F2"/>
    <w:rsid w:val="007C4568"/>
    <w:rsid w:val="007C5CD9"/>
    <w:rsid w:val="007C63E7"/>
    <w:rsid w:val="007C6536"/>
    <w:rsid w:val="007C7E22"/>
    <w:rsid w:val="007C7E5A"/>
    <w:rsid w:val="007D104B"/>
    <w:rsid w:val="007D39FE"/>
    <w:rsid w:val="007D3FA5"/>
    <w:rsid w:val="007D493F"/>
    <w:rsid w:val="007D4989"/>
    <w:rsid w:val="007D55EB"/>
    <w:rsid w:val="007D69C7"/>
    <w:rsid w:val="007D6B83"/>
    <w:rsid w:val="007D6F2E"/>
    <w:rsid w:val="007D7CD1"/>
    <w:rsid w:val="007D7D7D"/>
    <w:rsid w:val="007E09AC"/>
    <w:rsid w:val="007E0C45"/>
    <w:rsid w:val="007E187B"/>
    <w:rsid w:val="007E3020"/>
    <w:rsid w:val="007E4624"/>
    <w:rsid w:val="007E4747"/>
    <w:rsid w:val="007E4CEF"/>
    <w:rsid w:val="007E5772"/>
    <w:rsid w:val="007E58E4"/>
    <w:rsid w:val="007E5DEC"/>
    <w:rsid w:val="007E731F"/>
    <w:rsid w:val="007E73CA"/>
    <w:rsid w:val="007F332A"/>
    <w:rsid w:val="007F3629"/>
    <w:rsid w:val="007F42A8"/>
    <w:rsid w:val="007F4319"/>
    <w:rsid w:val="007F5013"/>
    <w:rsid w:val="007F50CD"/>
    <w:rsid w:val="007F668C"/>
    <w:rsid w:val="007F7D61"/>
    <w:rsid w:val="00800A32"/>
    <w:rsid w:val="0080269E"/>
    <w:rsid w:val="0080486D"/>
    <w:rsid w:val="008074C7"/>
    <w:rsid w:val="008108CF"/>
    <w:rsid w:val="00810D60"/>
    <w:rsid w:val="008111EA"/>
    <w:rsid w:val="00811BC3"/>
    <w:rsid w:val="00812CFE"/>
    <w:rsid w:val="00812FD9"/>
    <w:rsid w:val="00813A1E"/>
    <w:rsid w:val="00813F31"/>
    <w:rsid w:val="00814650"/>
    <w:rsid w:val="00815C9E"/>
    <w:rsid w:val="00817445"/>
    <w:rsid w:val="008205A7"/>
    <w:rsid w:val="00821AA0"/>
    <w:rsid w:val="008221E7"/>
    <w:rsid w:val="00822692"/>
    <w:rsid w:val="00823040"/>
    <w:rsid w:val="008232AB"/>
    <w:rsid w:val="008255B0"/>
    <w:rsid w:val="0082584E"/>
    <w:rsid w:val="00827580"/>
    <w:rsid w:val="00827666"/>
    <w:rsid w:val="00830750"/>
    <w:rsid w:val="00830A17"/>
    <w:rsid w:val="00831F3D"/>
    <w:rsid w:val="00833745"/>
    <w:rsid w:val="00833FA6"/>
    <w:rsid w:val="00834162"/>
    <w:rsid w:val="0083444D"/>
    <w:rsid w:val="00835AED"/>
    <w:rsid w:val="0083614C"/>
    <w:rsid w:val="0083709E"/>
    <w:rsid w:val="0083737F"/>
    <w:rsid w:val="008377D4"/>
    <w:rsid w:val="00837DB7"/>
    <w:rsid w:val="00840173"/>
    <w:rsid w:val="0084028E"/>
    <w:rsid w:val="00840D83"/>
    <w:rsid w:val="00842415"/>
    <w:rsid w:val="008432DE"/>
    <w:rsid w:val="008433E1"/>
    <w:rsid w:val="0084356C"/>
    <w:rsid w:val="0084371C"/>
    <w:rsid w:val="00846CD3"/>
    <w:rsid w:val="008472EB"/>
    <w:rsid w:val="008474A1"/>
    <w:rsid w:val="0084768E"/>
    <w:rsid w:val="00847F2A"/>
    <w:rsid w:val="00850B61"/>
    <w:rsid w:val="0085156A"/>
    <w:rsid w:val="00851AF3"/>
    <w:rsid w:val="00851F5B"/>
    <w:rsid w:val="00855150"/>
    <w:rsid w:val="00855684"/>
    <w:rsid w:val="008566D5"/>
    <w:rsid w:val="008569C4"/>
    <w:rsid w:val="0085790D"/>
    <w:rsid w:val="00857E80"/>
    <w:rsid w:val="00860414"/>
    <w:rsid w:val="008604C4"/>
    <w:rsid w:val="00860E3E"/>
    <w:rsid w:val="00861893"/>
    <w:rsid w:val="00862546"/>
    <w:rsid w:val="00862F05"/>
    <w:rsid w:val="00863FC9"/>
    <w:rsid w:val="00864E77"/>
    <w:rsid w:val="00865041"/>
    <w:rsid w:val="00865518"/>
    <w:rsid w:val="008669EB"/>
    <w:rsid w:val="00867576"/>
    <w:rsid w:val="0086783B"/>
    <w:rsid w:val="00870474"/>
    <w:rsid w:val="00870A7E"/>
    <w:rsid w:val="0087160C"/>
    <w:rsid w:val="00872092"/>
    <w:rsid w:val="008727E1"/>
    <w:rsid w:val="0087299E"/>
    <w:rsid w:val="00872BCF"/>
    <w:rsid w:val="008736B9"/>
    <w:rsid w:val="00874C80"/>
    <w:rsid w:val="008765ED"/>
    <w:rsid w:val="00876E8D"/>
    <w:rsid w:val="00881591"/>
    <w:rsid w:val="008827DB"/>
    <w:rsid w:val="008828FF"/>
    <w:rsid w:val="008829E8"/>
    <w:rsid w:val="0088352B"/>
    <w:rsid w:val="00884203"/>
    <w:rsid w:val="00885741"/>
    <w:rsid w:val="00885789"/>
    <w:rsid w:val="00885B43"/>
    <w:rsid w:val="008860A5"/>
    <w:rsid w:val="00886D37"/>
    <w:rsid w:val="00887B95"/>
    <w:rsid w:val="00890180"/>
    <w:rsid w:val="00890967"/>
    <w:rsid w:val="0089196C"/>
    <w:rsid w:val="0089230B"/>
    <w:rsid w:val="00893688"/>
    <w:rsid w:val="00893862"/>
    <w:rsid w:val="00893DCE"/>
    <w:rsid w:val="00894612"/>
    <w:rsid w:val="00894817"/>
    <w:rsid w:val="0089543B"/>
    <w:rsid w:val="008962EA"/>
    <w:rsid w:val="00897EC5"/>
    <w:rsid w:val="008A2C4B"/>
    <w:rsid w:val="008A30A5"/>
    <w:rsid w:val="008A4732"/>
    <w:rsid w:val="008A520A"/>
    <w:rsid w:val="008A5431"/>
    <w:rsid w:val="008A64C7"/>
    <w:rsid w:val="008A699F"/>
    <w:rsid w:val="008B0CD5"/>
    <w:rsid w:val="008B0D77"/>
    <w:rsid w:val="008B100A"/>
    <w:rsid w:val="008B348D"/>
    <w:rsid w:val="008B5924"/>
    <w:rsid w:val="008B6276"/>
    <w:rsid w:val="008B659C"/>
    <w:rsid w:val="008B6AC9"/>
    <w:rsid w:val="008B6B5B"/>
    <w:rsid w:val="008B7280"/>
    <w:rsid w:val="008B78E3"/>
    <w:rsid w:val="008B7DEF"/>
    <w:rsid w:val="008C0321"/>
    <w:rsid w:val="008C0A25"/>
    <w:rsid w:val="008C0F3B"/>
    <w:rsid w:val="008C0F96"/>
    <w:rsid w:val="008C258A"/>
    <w:rsid w:val="008C30D0"/>
    <w:rsid w:val="008C33F7"/>
    <w:rsid w:val="008C4237"/>
    <w:rsid w:val="008C42D9"/>
    <w:rsid w:val="008C5371"/>
    <w:rsid w:val="008C6B79"/>
    <w:rsid w:val="008C7F15"/>
    <w:rsid w:val="008D0061"/>
    <w:rsid w:val="008D03DC"/>
    <w:rsid w:val="008D08DF"/>
    <w:rsid w:val="008D0FE1"/>
    <w:rsid w:val="008D125F"/>
    <w:rsid w:val="008D1D7F"/>
    <w:rsid w:val="008D1E3E"/>
    <w:rsid w:val="008D4282"/>
    <w:rsid w:val="008D47BF"/>
    <w:rsid w:val="008D60C9"/>
    <w:rsid w:val="008D6EB9"/>
    <w:rsid w:val="008D72BB"/>
    <w:rsid w:val="008D7A4B"/>
    <w:rsid w:val="008E0AAA"/>
    <w:rsid w:val="008E114C"/>
    <w:rsid w:val="008E18D8"/>
    <w:rsid w:val="008E3D2D"/>
    <w:rsid w:val="008E40B3"/>
    <w:rsid w:val="008E6743"/>
    <w:rsid w:val="008E69B0"/>
    <w:rsid w:val="008E78A2"/>
    <w:rsid w:val="008F17F1"/>
    <w:rsid w:val="008F2182"/>
    <w:rsid w:val="008F3AE4"/>
    <w:rsid w:val="008F45E9"/>
    <w:rsid w:val="008F4821"/>
    <w:rsid w:val="008F497C"/>
    <w:rsid w:val="008F4BBA"/>
    <w:rsid w:val="008F4CA1"/>
    <w:rsid w:val="008F6B27"/>
    <w:rsid w:val="008F6EE2"/>
    <w:rsid w:val="00900740"/>
    <w:rsid w:val="00901CE6"/>
    <w:rsid w:val="00902036"/>
    <w:rsid w:val="00902658"/>
    <w:rsid w:val="0090346C"/>
    <w:rsid w:val="00903954"/>
    <w:rsid w:val="00903C78"/>
    <w:rsid w:val="00904218"/>
    <w:rsid w:val="009054E5"/>
    <w:rsid w:val="009079FC"/>
    <w:rsid w:val="00910099"/>
    <w:rsid w:val="00910ADE"/>
    <w:rsid w:val="009116DD"/>
    <w:rsid w:val="0091209E"/>
    <w:rsid w:val="00913995"/>
    <w:rsid w:val="00914514"/>
    <w:rsid w:val="00914900"/>
    <w:rsid w:val="00915243"/>
    <w:rsid w:val="00915F6E"/>
    <w:rsid w:val="0091631A"/>
    <w:rsid w:val="00917D0B"/>
    <w:rsid w:val="009208C9"/>
    <w:rsid w:val="00920C13"/>
    <w:rsid w:val="00920E83"/>
    <w:rsid w:val="00921A00"/>
    <w:rsid w:val="0092332C"/>
    <w:rsid w:val="00923486"/>
    <w:rsid w:val="00924780"/>
    <w:rsid w:val="009261BF"/>
    <w:rsid w:val="009264EE"/>
    <w:rsid w:val="00926903"/>
    <w:rsid w:val="00926FFC"/>
    <w:rsid w:val="00927750"/>
    <w:rsid w:val="0093014F"/>
    <w:rsid w:val="0093149C"/>
    <w:rsid w:val="00931A16"/>
    <w:rsid w:val="00931E59"/>
    <w:rsid w:val="009321AC"/>
    <w:rsid w:val="00933A95"/>
    <w:rsid w:val="009357D6"/>
    <w:rsid w:val="00940326"/>
    <w:rsid w:val="00940AC4"/>
    <w:rsid w:val="00940C62"/>
    <w:rsid w:val="009412F3"/>
    <w:rsid w:val="00942FCB"/>
    <w:rsid w:val="00943100"/>
    <w:rsid w:val="009445C7"/>
    <w:rsid w:val="00944F7E"/>
    <w:rsid w:val="0094521B"/>
    <w:rsid w:val="00945832"/>
    <w:rsid w:val="00945A7D"/>
    <w:rsid w:val="0094633A"/>
    <w:rsid w:val="009463AE"/>
    <w:rsid w:val="00946F56"/>
    <w:rsid w:val="009479AD"/>
    <w:rsid w:val="009506BB"/>
    <w:rsid w:val="00950884"/>
    <w:rsid w:val="00951B29"/>
    <w:rsid w:val="00951ECF"/>
    <w:rsid w:val="009524C5"/>
    <w:rsid w:val="00952B92"/>
    <w:rsid w:val="00953A07"/>
    <w:rsid w:val="00953C4B"/>
    <w:rsid w:val="00954F53"/>
    <w:rsid w:val="009557B9"/>
    <w:rsid w:val="00956819"/>
    <w:rsid w:val="009600C5"/>
    <w:rsid w:val="0096059C"/>
    <w:rsid w:val="00960DC9"/>
    <w:rsid w:val="00960ECE"/>
    <w:rsid w:val="00961665"/>
    <w:rsid w:val="00962A1C"/>
    <w:rsid w:val="00963284"/>
    <w:rsid w:val="00963A36"/>
    <w:rsid w:val="00964D73"/>
    <w:rsid w:val="009664E1"/>
    <w:rsid w:val="0096751A"/>
    <w:rsid w:val="00970444"/>
    <w:rsid w:val="009712EA"/>
    <w:rsid w:val="00971918"/>
    <w:rsid w:val="009739F0"/>
    <w:rsid w:val="00974E66"/>
    <w:rsid w:val="009754E9"/>
    <w:rsid w:val="00976216"/>
    <w:rsid w:val="00976923"/>
    <w:rsid w:val="00976AC7"/>
    <w:rsid w:val="00977A0F"/>
    <w:rsid w:val="0098054B"/>
    <w:rsid w:val="009806BB"/>
    <w:rsid w:val="0098070E"/>
    <w:rsid w:val="00980ADE"/>
    <w:rsid w:val="0098183B"/>
    <w:rsid w:val="009822B7"/>
    <w:rsid w:val="00982384"/>
    <w:rsid w:val="009825E0"/>
    <w:rsid w:val="009839E7"/>
    <w:rsid w:val="00983BEC"/>
    <w:rsid w:val="0098412B"/>
    <w:rsid w:val="00985746"/>
    <w:rsid w:val="0098580B"/>
    <w:rsid w:val="00986E37"/>
    <w:rsid w:val="00987E4D"/>
    <w:rsid w:val="00991BE1"/>
    <w:rsid w:val="00992F02"/>
    <w:rsid w:val="00993F41"/>
    <w:rsid w:val="00994C68"/>
    <w:rsid w:val="0099546A"/>
    <w:rsid w:val="0099580B"/>
    <w:rsid w:val="009965FB"/>
    <w:rsid w:val="00996A05"/>
    <w:rsid w:val="00997514"/>
    <w:rsid w:val="009A05C8"/>
    <w:rsid w:val="009A08C9"/>
    <w:rsid w:val="009A0F5A"/>
    <w:rsid w:val="009A3612"/>
    <w:rsid w:val="009A3E0F"/>
    <w:rsid w:val="009A44B3"/>
    <w:rsid w:val="009A480E"/>
    <w:rsid w:val="009A515B"/>
    <w:rsid w:val="009A6B12"/>
    <w:rsid w:val="009A7A72"/>
    <w:rsid w:val="009A7CD3"/>
    <w:rsid w:val="009B0260"/>
    <w:rsid w:val="009B04AB"/>
    <w:rsid w:val="009B22FF"/>
    <w:rsid w:val="009B314B"/>
    <w:rsid w:val="009B3153"/>
    <w:rsid w:val="009B319C"/>
    <w:rsid w:val="009B37F5"/>
    <w:rsid w:val="009B656A"/>
    <w:rsid w:val="009C1B91"/>
    <w:rsid w:val="009C1CE2"/>
    <w:rsid w:val="009C38EE"/>
    <w:rsid w:val="009C39F1"/>
    <w:rsid w:val="009C4753"/>
    <w:rsid w:val="009C4E67"/>
    <w:rsid w:val="009C52C4"/>
    <w:rsid w:val="009C5A90"/>
    <w:rsid w:val="009C5ADD"/>
    <w:rsid w:val="009C5D3E"/>
    <w:rsid w:val="009C7274"/>
    <w:rsid w:val="009D03EF"/>
    <w:rsid w:val="009D1308"/>
    <w:rsid w:val="009D139C"/>
    <w:rsid w:val="009D3388"/>
    <w:rsid w:val="009D3432"/>
    <w:rsid w:val="009D6549"/>
    <w:rsid w:val="009D7020"/>
    <w:rsid w:val="009D78A8"/>
    <w:rsid w:val="009E0167"/>
    <w:rsid w:val="009E0E48"/>
    <w:rsid w:val="009E1E2F"/>
    <w:rsid w:val="009E2085"/>
    <w:rsid w:val="009E288E"/>
    <w:rsid w:val="009E444C"/>
    <w:rsid w:val="009E4742"/>
    <w:rsid w:val="009E48F6"/>
    <w:rsid w:val="009E4C60"/>
    <w:rsid w:val="009E6424"/>
    <w:rsid w:val="009E66AC"/>
    <w:rsid w:val="009E748D"/>
    <w:rsid w:val="009F08E8"/>
    <w:rsid w:val="009F09B0"/>
    <w:rsid w:val="009F1A3A"/>
    <w:rsid w:val="009F4792"/>
    <w:rsid w:val="009F528A"/>
    <w:rsid w:val="009F58CD"/>
    <w:rsid w:val="009F60B4"/>
    <w:rsid w:val="009F6392"/>
    <w:rsid w:val="009F68A9"/>
    <w:rsid w:val="009F703C"/>
    <w:rsid w:val="009F7257"/>
    <w:rsid w:val="009F72F7"/>
    <w:rsid w:val="009F780D"/>
    <w:rsid w:val="009F7F93"/>
    <w:rsid w:val="00A00F49"/>
    <w:rsid w:val="00A01D4B"/>
    <w:rsid w:val="00A01D68"/>
    <w:rsid w:val="00A02164"/>
    <w:rsid w:val="00A026E6"/>
    <w:rsid w:val="00A02775"/>
    <w:rsid w:val="00A032C0"/>
    <w:rsid w:val="00A03F29"/>
    <w:rsid w:val="00A0489D"/>
    <w:rsid w:val="00A04CE8"/>
    <w:rsid w:val="00A056E0"/>
    <w:rsid w:val="00A067BF"/>
    <w:rsid w:val="00A074A2"/>
    <w:rsid w:val="00A07BC2"/>
    <w:rsid w:val="00A10765"/>
    <w:rsid w:val="00A129CB"/>
    <w:rsid w:val="00A1355D"/>
    <w:rsid w:val="00A13C52"/>
    <w:rsid w:val="00A13E9D"/>
    <w:rsid w:val="00A14550"/>
    <w:rsid w:val="00A14940"/>
    <w:rsid w:val="00A14CDD"/>
    <w:rsid w:val="00A1601C"/>
    <w:rsid w:val="00A16F04"/>
    <w:rsid w:val="00A1730C"/>
    <w:rsid w:val="00A174D5"/>
    <w:rsid w:val="00A17540"/>
    <w:rsid w:val="00A177F6"/>
    <w:rsid w:val="00A1786D"/>
    <w:rsid w:val="00A22BAB"/>
    <w:rsid w:val="00A22E2B"/>
    <w:rsid w:val="00A23523"/>
    <w:rsid w:val="00A23712"/>
    <w:rsid w:val="00A23AE9"/>
    <w:rsid w:val="00A23B92"/>
    <w:rsid w:val="00A24DEA"/>
    <w:rsid w:val="00A25F07"/>
    <w:rsid w:val="00A264DE"/>
    <w:rsid w:val="00A26FB6"/>
    <w:rsid w:val="00A2735F"/>
    <w:rsid w:val="00A2756E"/>
    <w:rsid w:val="00A27AE9"/>
    <w:rsid w:val="00A304E4"/>
    <w:rsid w:val="00A3087E"/>
    <w:rsid w:val="00A309D9"/>
    <w:rsid w:val="00A30C03"/>
    <w:rsid w:val="00A3107A"/>
    <w:rsid w:val="00A32532"/>
    <w:rsid w:val="00A328DC"/>
    <w:rsid w:val="00A33A49"/>
    <w:rsid w:val="00A347DB"/>
    <w:rsid w:val="00A34A0D"/>
    <w:rsid w:val="00A3557C"/>
    <w:rsid w:val="00A36FEC"/>
    <w:rsid w:val="00A379FE"/>
    <w:rsid w:val="00A37B23"/>
    <w:rsid w:val="00A37F58"/>
    <w:rsid w:val="00A44140"/>
    <w:rsid w:val="00A44392"/>
    <w:rsid w:val="00A44954"/>
    <w:rsid w:val="00A44D77"/>
    <w:rsid w:val="00A45740"/>
    <w:rsid w:val="00A45B41"/>
    <w:rsid w:val="00A463F8"/>
    <w:rsid w:val="00A476E8"/>
    <w:rsid w:val="00A47B27"/>
    <w:rsid w:val="00A506C3"/>
    <w:rsid w:val="00A534A3"/>
    <w:rsid w:val="00A54674"/>
    <w:rsid w:val="00A54EBD"/>
    <w:rsid w:val="00A55C3E"/>
    <w:rsid w:val="00A562ED"/>
    <w:rsid w:val="00A566A0"/>
    <w:rsid w:val="00A566E6"/>
    <w:rsid w:val="00A5784E"/>
    <w:rsid w:val="00A605C4"/>
    <w:rsid w:val="00A60BDC"/>
    <w:rsid w:val="00A612F1"/>
    <w:rsid w:val="00A620E6"/>
    <w:rsid w:val="00A6316E"/>
    <w:rsid w:val="00A6330D"/>
    <w:rsid w:val="00A636E6"/>
    <w:rsid w:val="00A6411F"/>
    <w:rsid w:val="00A659C2"/>
    <w:rsid w:val="00A70EDB"/>
    <w:rsid w:val="00A70F63"/>
    <w:rsid w:val="00A71F27"/>
    <w:rsid w:val="00A7211D"/>
    <w:rsid w:val="00A7239D"/>
    <w:rsid w:val="00A73175"/>
    <w:rsid w:val="00A74166"/>
    <w:rsid w:val="00A75AEE"/>
    <w:rsid w:val="00A75EE4"/>
    <w:rsid w:val="00A77D20"/>
    <w:rsid w:val="00A80DEA"/>
    <w:rsid w:val="00A80F5B"/>
    <w:rsid w:val="00A81104"/>
    <w:rsid w:val="00A8132D"/>
    <w:rsid w:val="00A819A3"/>
    <w:rsid w:val="00A82AA2"/>
    <w:rsid w:val="00A82E11"/>
    <w:rsid w:val="00A834ED"/>
    <w:rsid w:val="00A8404F"/>
    <w:rsid w:val="00A8459E"/>
    <w:rsid w:val="00A8495D"/>
    <w:rsid w:val="00A85329"/>
    <w:rsid w:val="00A8581F"/>
    <w:rsid w:val="00A85844"/>
    <w:rsid w:val="00A85D59"/>
    <w:rsid w:val="00A85F14"/>
    <w:rsid w:val="00A864CB"/>
    <w:rsid w:val="00A86B6D"/>
    <w:rsid w:val="00A9063A"/>
    <w:rsid w:val="00A907AB"/>
    <w:rsid w:val="00A91F5C"/>
    <w:rsid w:val="00A92EA3"/>
    <w:rsid w:val="00A93781"/>
    <w:rsid w:val="00A9402B"/>
    <w:rsid w:val="00A94945"/>
    <w:rsid w:val="00A9637E"/>
    <w:rsid w:val="00A96526"/>
    <w:rsid w:val="00A96BB4"/>
    <w:rsid w:val="00A97167"/>
    <w:rsid w:val="00A97F4E"/>
    <w:rsid w:val="00AA1706"/>
    <w:rsid w:val="00AA1C9B"/>
    <w:rsid w:val="00AA4811"/>
    <w:rsid w:val="00AA4A7B"/>
    <w:rsid w:val="00AA7E81"/>
    <w:rsid w:val="00AB0EF3"/>
    <w:rsid w:val="00AB1584"/>
    <w:rsid w:val="00AB24ED"/>
    <w:rsid w:val="00AB4C03"/>
    <w:rsid w:val="00AB5FFD"/>
    <w:rsid w:val="00AB69E2"/>
    <w:rsid w:val="00AC04C2"/>
    <w:rsid w:val="00AC1021"/>
    <w:rsid w:val="00AC2267"/>
    <w:rsid w:val="00AC2A44"/>
    <w:rsid w:val="00AC2C7E"/>
    <w:rsid w:val="00AC2E01"/>
    <w:rsid w:val="00AC341E"/>
    <w:rsid w:val="00AC5D73"/>
    <w:rsid w:val="00AC6A0D"/>
    <w:rsid w:val="00AC7759"/>
    <w:rsid w:val="00AC7773"/>
    <w:rsid w:val="00AC7F52"/>
    <w:rsid w:val="00AD1FBC"/>
    <w:rsid w:val="00AD2C3E"/>
    <w:rsid w:val="00AD30C5"/>
    <w:rsid w:val="00AD552A"/>
    <w:rsid w:val="00AD74CC"/>
    <w:rsid w:val="00AE04F4"/>
    <w:rsid w:val="00AE1096"/>
    <w:rsid w:val="00AE1154"/>
    <w:rsid w:val="00AE15FB"/>
    <w:rsid w:val="00AE1A2E"/>
    <w:rsid w:val="00AE1F0A"/>
    <w:rsid w:val="00AE26FB"/>
    <w:rsid w:val="00AE3AED"/>
    <w:rsid w:val="00AE40B8"/>
    <w:rsid w:val="00AE41D8"/>
    <w:rsid w:val="00AE764E"/>
    <w:rsid w:val="00AF1462"/>
    <w:rsid w:val="00AF252E"/>
    <w:rsid w:val="00AF316A"/>
    <w:rsid w:val="00AF41DF"/>
    <w:rsid w:val="00AF5899"/>
    <w:rsid w:val="00AF5A9A"/>
    <w:rsid w:val="00AF5CC2"/>
    <w:rsid w:val="00AF5EF7"/>
    <w:rsid w:val="00AF6739"/>
    <w:rsid w:val="00AF75AF"/>
    <w:rsid w:val="00B002C6"/>
    <w:rsid w:val="00B00B47"/>
    <w:rsid w:val="00B00D76"/>
    <w:rsid w:val="00B01596"/>
    <w:rsid w:val="00B024B4"/>
    <w:rsid w:val="00B0327E"/>
    <w:rsid w:val="00B03A4B"/>
    <w:rsid w:val="00B03F98"/>
    <w:rsid w:val="00B04B56"/>
    <w:rsid w:val="00B04D40"/>
    <w:rsid w:val="00B066B3"/>
    <w:rsid w:val="00B06901"/>
    <w:rsid w:val="00B07073"/>
    <w:rsid w:val="00B0707D"/>
    <w:rsid w:val="00B07A09"/>
    <w:rsid w:val="00B1014E"/>
    <w:rsid w:val="00B102B1"/>
    <w:rsid w:val="00B11A8A"/>
    <w:rsid w:val="00B12622"/>
    <w:rsid w:val="00B12960"/>
    <w:rsid w:val="00B1329F"/>
    <w:rsid w:val="00B1353F"/>
    <w:rsid w:val="00B1380A"/>
    <w:rsid w:val="00B145D0"/>
    <w:rsid w:val="00B146D8"/>
    <w:rsid w:val="00B15835"/>
    <w:rsid w:val="00B170FA"/>
    <w:rsid w:val="00B17320"/>
    <w:rsid w:val="00B20461"/>
    <w:rsid w:val="00B20563"/>
    <w:rsid w:val="00B21165"/>
    <w:rsid w:val="00B21960"/>
    <w:rsid w:val="00B21EEB"/>
    <w:rsid w:val="00B22278"/>
    <w:rsid w:val="00B23828"/>
    <w:rsid w:val="00B23FC6"/>
    <w:rsid w:val="00B24581"/>
    <w:rsid w:val="00B248B0"/>
    <w:rsid w:val="00B25BD5"/>
    <w:rsid w:val="00B265C8"/>
    <w:rsid w:val="00B32029"/>
    <w:rsid w:val="00B33C91"/>
    <w:rsid w:val="00B36026"/>
    <w:rsid w:val="00B3660E"/>
    <w:rsid w:val="00B36B1A"/>
    <w:rsid w:val="00B37264"/>
    <w:rsid w:val="00B373AF"/>
    <w:rsid w:val="00B3796F"/>
    <w:rsid w:val="00B40ACE"/>
    <w:rsid w:val="00B40DFA"/>
    <w:rsid w:val="00B410CB"/>
    <w:rsid w:val="00B41987"/>
    <w:rsid w:val="00B423FE"/>
    <w:rsid w:val="00B42A2C"/>
    <w:rsid w:val="00B43246"/>
    <w:rsid w:val="00B4327C"/>
    <w:rsid w:val="00B43DEC"/>
    <w:rsid w:val="00B44E41"/>
    <w:rsid w:val="00B45197"/>
    <w:rsid w:val="00B4624D"/>
    <w:rsid w:val="00B46773"/>
    <w:rsid w:val="00B46CA6"/>
    <w:rsid w:val="00B513A7"/>
    <w:rsid w:val="00B51989"/>
    <w:rsid w:val="00B52F81"/>
    <w:rsid w:val="00B53729"/>
    <w:rsid w:val="00B5391A"/>
    <w:rsid w:val="00B53965"/>
    <w:rsid w:val="00B54641"/>
    <w:rsid w:val="00B546EE"/>
    <w:rsid w:val="00B55243"/>
    <w:rsid w:val="00B567EE"/>
    <w:rsid w:val="00B60B70"/>
    <w:rsid w:val="00B61770"/>
    <w:rsid w:val="00B627AA"/>
    <w:rsid w:val="00B633BF"/>
    <w:rsid w:val="00B636B0"/>
    <w:rsid w:val="00B64106"/>
    <w:rsid w:val="00B652E5"/>
    <w:rsid w:val="00B6533B"/>
    <w:rsid w:val="00B66156"/>
    <w:rsid w:val="00B66EDA"/>
    <w:rsid w:val="00B67FEB"/>
    <w:rsid w:val="00B70716"/>
    <w:rsid w:val="00B71136"/>
    <w:rsid w:val="00B71CC0"/>
    <w:rsid w:val="00B71DD0"/>
    <w:rsid w:val="00B720FB"/>
    <w:rsid w:val="00B729FE"/>
    <w:rsid w:val="00B75F1C"/>
    <w:rsid w:val="00B7609C"/>
    <w:rsid w:val="00B7698B"/>
    <w:rsid w:val="00B76D88"/>
    <w:rsid w:val="00B776FC"/>
    <w:rsid w:val="00B8063C"/>
    <w:rsid w:val="00B82AE0"/>
    <w:rsid w:val="00B82DAC"/>
    <w:rsid w:val="00B82FFD"/>
    <w:rsid w:val="00B833FB"/>
    <w:rsid w:val="00B8359D"/>
    <w:rsid w:val="00B83DD2"/>
    <w:rsid w:val="00B84AB4"/>
    <w:rsid w:val="00B84C3D"/>
    <w:rsid w:val="00B84FD8"/>
    <w:rsid w:val="00B85EF7"/>
    <w:rsid w:val="00B85FF0"/>
    <w:rsid w:val="00B86C54"/>
    <w:rsid w:val="00B875BF"/>
    <w:rsid w:val="00B87628"/>
    <w:rsid w:val="00B87EC2"/>
    <w:rsid w:val="00B90134"/>
    <w:rsid w:val="00B90826"/>
    <w:rsid w:val="00B91A8A"/>
    <w:rsid w:val="00B92BB5"/>
    <w:rsid w:val="00B94083"/>
    <w:rsid w:val="00B94867"/>
    <w:rsid w:val="00B95EEB"/>
    <w:rsid w:val="00B978F7"/>
    <w:rsid w:val="00B97A88"/>
    <w:rsid w:val="00BA15BC"/>
    <w:rsid w:val="00BA17DA"/>
    <w:rsid w:val="00BA295B"/>
    <w:rsid w:val="00BA2B89"/>
    <w:rsid w:val="00BA2F2D"/>
    <w:rsid w:val="00BA30E7"/>
    <w:rsid w:val="00BA383A"/>
    <w:rsid w:val="00BA3A07"/>
    <w:rsid w:val="00BA3AA7"/>
    <w:rsid w:val="00BA3DC9"/>
    <w:rsid w:val="00BA5BA2"/>
    <w:rsid w:val="00BA5E0D"/>
    <w:rsid w:val="00BA5ED5"/>
    <w:rsid w:val="00BA61DA"/>
    <w:rsid w:val="00BA6836"/>
    <w:rsid w:val="00BA6853"/>
    <w:rsid w:val="00BA6C32"/>
    <w:rsid w:val="00BA74B9"/>
    <w:rsid w:val="00BA7B8C"/>
    <w:rsid w:val="00BA7D69"/>
    <w:rsid w:val="00BB076E"/>
    <w:rsid w:val="00BB18D9"/>
    <w:rsid w:val="00BB1D2D"/>
    <w:rsid w:val="00BB2212"/>
    <w:rsid w:val="00BB2A26"/>
    <w:rsid w:val="00BB2B92"/>
    <w:rsid w:val="00BB2BA1"/>
    <w:rsid w:val="00BB3020"/>
    <w:rsid w:val="00BB4D2D"/>
    <w:rsid w:val="00BB52A9"/>
    <w:rsid w:val="00BB54D5"/>
    <w:rsid w:val="00BB552D"/>
    <w:rsid w:val="00BB68EF"/>
    <w:rsid w:val="00BB6AC3"/>
    <w:rsid w:val="00BB78F4"/>
    <w:rsid w:val="00BB7944"/>
    <w:rsid w:val="00BB7DE3"/>
    <w:rsid w:val="00BC031A"/>
    <w:rsid w:val="00BC0685"/>
    <w:rsid w:val="00BC11C8"/>
    <w:rsid w:val="00BC12F7"/>
    <w:rsid w:val="00BC2A7C"/>
    <w:rsid w:val="00BC308D"/>
    <w:rsid w:val="00BC35A8"/>
    <w:rsid w:val="00BC3BA6"/>
    <w:rsid w:val="00BC61D0"/>
    <w:rsid w:val="00BC6794"/>
    <w:rsid w:val="00BC77BB"/>
    <w:rsid w:val="00BC7BAE"/>
    <w:rsid w:val="00BC7C6A"/>
    <w:rsid w:val="00BD0599"/>
    <w:rsid w:val="00BD2DC9"/>
    <w:rsid w:val="00BD4459"/>
    <w:rsid w:val="00BD4718"/>
    <w:rsid w:val="00BD49FE"/>
    <w:rsid w:val="00BD5B2C"/>
    <w:rsid w:val="00BD6F89"/>
    <w:rsid w:val="00BD7CBE"/>
    <w:rsid w:val="00BE0A32"/>
    <w:rsid w:val="00BE0A90"/>
    <w:rsid w:val="00BE1583"/>
    <w:rsid w:val="00BE16DE"/>
    <w:rsid w:val="00BE1C65"/>
    <w:rsid w:val="00BE216C"/>
    <w:rsid w:val="00BE2F28"/>
    <w:rsid w:val="00BE3D87"/>
    <w:rsid w:val="00BE5C58"/>
    <w:rsid w:val="00BE66BF"/>
    <w:rsid w:val="00BE71D5"/>
    <w:rsid w:val="00BE7919"/>
    <w:rsid w:val="00BE7CFA"/>
    <w:rsid w:val="00BF0058"/>
    <w:rsid w:val="00BF0BB0"/>
    <w:rsid w:val="00BF134D"/>
    <w:rsid w:val="00BF28F6"/>
    <w:rsid w:val="00BF2BDC"/>
    <w:rsid w:val="00BF2D3F"/>
    <w:rsid w:val="00BF32E1"/>
    <w:rsid w:val="00BF3B8C"/>
    <w:rsid w:val="00BF3C27"/>
    <w:rsid w:val="00BF4E82"/>
    <w:rsid w:val="00BF50BF"/>
    <w:rsid w:val="00BF5114"/>
    <w:rsid w:val="00BF5A52"/>
    <w:rsid w:val="00BF5DD4"/>
    <w:rsid w:val="00BF730A"/>
    <w:rsid w:val="00BF7E31"/>
    <w:rsid w:val="00C021F5"/>
    <w:rsid w:val="00C03188"/>
    <w:rsid w:val="00C0437A"/>
    <w:rsid w:val="00C047D6"/>
    <w:rsid w:val="00C04B25"/>
    <w:rsid w:val="00C04D41"/>
    <w:rsid w:val="00C05A53"/>
    <w:rsid w:val="00C05E5B"/>
    <w:rsid w:val="00C06276"/>
    <w:rsid w:val="00C10346"/>
    <w:rsid w:val="00C11A03"/>
    <w:rsid w:val="00C140AF"/>
    <w:rsid w:val="00C1465C"/>
    <w:rsid w:val="00C17B18"/>
    <w:rsid w:val="00C20313"/>
    <w:rsid w:val="00C2040E"/>
    <w:rsid w:val="00C21F40"/>
    <w:rsid w:val="00C22ADD"/>
    <w:rsid w:val="00C22CB2"/>
    <w:rsid w:val="00C2445E"/>
    <w:rsid w:val="00C24E8A"/>
    <w:rsid w:val="00C25538"/>
    <w:rsid w:val="00C27A95"/>
    <w:rsid w:val="00C30562"/>
    <w:rsid w:val="00C30CA1"/>
    <w:rsid w:val="00C30E31"/>
    <w:rsid w:val="00C3104B"/>
    <w:rsid w:val="00C32362"/>
    <w:rsid w:val="00C32AED"/>
    <w:rsid w:val="00C3438B"/>
    <w:rsid w:val="00C34C4E"/>
    <w:rsid w:val="00C34D33"/>
    <w:rsid w:val="00C36771"/>
    <w:rsid w:val="00C36850"/>
    <w:rsid w:val="00C37AD3"/>
    <w:rsid w:val="00C400B9"/>
    <w:rsid w:val="00C405D4"/>
    <w:rsid w:val="00C40C53"/>
    <w:rsid w:val="00C40E15"/>
    <w:rsid w:val="00C4101A"/>
    <w:rsid w:val="00C41B9F"/>
    <w:rsid w:val="00C4220F"/>
    <w:rsid w:val="00C4475E"/>
    <w:rsid w:val="00C466BC"/>
    <w:rsid w:val="00C46D91"/>
    <w:rsid w:val="00C5020E"/>
    <w:rsid w:val="00C5092E"/>
    <w:rsid w:val="00C51A3E"/>
    <w:rsid w:val="00C51EB8"/>
    <w:rsid w:val="00C53519"/>
    <w:rsid w:val="00C543E6"/>
    <w:rsid w:val="00C5463C"/>
    <w:rsid w:val="00C55D48"/>
    <w:rsid w:val="00C563B3"/>
    <w:rsid w:val="00C56670"/>
    <w:rsid w:val="00C6008D"/>
    <w:rsid w:val="00C60CBE"/>
    <w:rsid w:val="00C6220A"/>
    <w:rsid w:val="00C622BC"/>
    <w:rsid w:val="00C6235E"/>
    <w:rsid w:val="00C6376A"/>
    <w:rsid w:val="00C64DA0"/>
    <w:rsid w:val="00C65605"/>
    <w:rsid w:val="00C65637"/>
    <w:rsid w:val="00C65AF2"/>
    <w:rsid w:val="00C65F2C"/>
    <w:rsid w:val="00C65F92"/>
    <w:rsid w:val="00C66780"/>
    <w:rsid w:val="00C717E4"/>
    <w:rsid w:val="00C724A2"/>
    <w:rsid w:val="00C728E4"/>
    <w:rsid w:val="00C75850"/>
    <w:rsid w:val="00C758A1"/>
    <w:rsid w:val="00C7598B"/>
    <w:rsid w:val="00C75AB9"/>
    <w:rsid w:val="00C75C47"/>
    <w:rsid w:val="00C75F3B"/>
    <w:rsid w:val="00C770C9"/>
    <w:rsid w:val="00C7776B"/>
    <w:rsid w:val="00C77D31"/>
    <w:rsid w:val="00C826C8"/>
    <w:rsid w:val="00C835E5"/>
    <w:rsid w:val="00C83D38"/>
    <w:rsid w:val="00C858AE"/>
    <w:rsid w:val="00C860A3"/>
    <w:rsid w:val="00C86DA4"/>
    <w:rsid w:val="00C877FA"/>
    <w:rsid w:val="00C87AD8"/>
    <w:rsid w:val="00C87D6F"/>
    <w:rsid w:val="00C91E27"/>
    <w:rsid w:val="00C93297"/>
    <w:rsid w:val="00C93EB1"/>
    <w:rsid w:val="00C94A0B"/>
    <w:rsid w:val="00C96B0C"/>
    <w:rsid w:val="00C97AAB"/>
    <w:rsid w:val="00CA007B"/>
    <w:rsid w:val="00CA0CB4"/>
    <w:rsid w:val="00CA1443"/>
    <w:rsid w:val="00CA310D"/>
    <w:rsid w:val="00CA373D"/>
    <w:rsid w:val="00CA4B72"/>
    <w:rsid w:val="00CA7C35"/>
    <w:rsid w:val="00CB07AA"/>
    <w:rsid w:val="00CB0D5E"/>
    <w:rsid w:val="00CB18C7"/>
    <w:rsid w:val="00CB1AF5"/>
    <w:rsid w:val="00CB2AB3"/>
    <w:rsid w:val="00CB3A0D"/>
    <w:rsid w:val="00CB40CF"/>
    <w:rsid w:val="00CB4DFC"/>
    <w:rsid w:val="00CB53E0"/>
    <w:rsid w:val="00CB78E1"/>
    <w:rsid w:val="00CC0DB5"/>
    <w:rsid w:val="00CC263A"/>
    <w:rsid w:val="00CC32CB"/>
    <w:rsid w:val="00CC34D4"/>
    <w:rsid w:val="00CC36B4"/>
    <w:rsid w:val="00CC4350"/>
    <w:rsid w:val="00CC44E8"/>
    <w:rsid w:val="00CC48DB"/>
    <w:rsid w:val="00CD086B"/>
    <w:rsid w:val="00CD0A1F"/>
    <w:rsid w:val="00CD13B0"/>
    <w:rsid w:val="00CD13C7"/>
    <w:rsid w:val="00CD4148"/>
    <w:rsid w:val="00CE0AB4"/>
    <w:rsid w:val="00CE1C46"/>
    <w:rsid w:val="00CE1C7D"/>
    <w:rsid w:val="00CE20A6"/>
    <w:rsid w:val="00CE2940"/>
    <w:rsid w:val="00CE43BA"/>
    <w:rsid w:val="00CE62E4"/>
    <w:rsid w:val="00CE6A5F"/>
    <w:rsid w:val="00CF080D"/>
    <w:rsid w:val="00CF38BA"/>
    <w:rsid w:val="00CF3CDE"/>
    <w:rsid w:val="00D02A0A"/>
    <w:rsid w:val="00D04248"/>
    <w:rsid w:val="00D0696B"/>
    <w:rsid w:val="00D06F4D"/>
    <w:rsid w:val="00D07BCE"/>
    <w:rsid w:val="00D10060"/>
    <w:rsid w:val="00D128B9"/>
    <w:rsid w:val="00D12E5A"/>
    <w:rsid w:val="00D138B3"/>
    <w:rsid w:val="00D13EA9"/>
    <w:rsid w:val="00D13F54"/>
    <w:rsid w:val="00D14562"/>
    <w:rsid w:val="00D15816"/>
    <w:rsid w:val="00D16750"/>
    <w:rsid w:val="00D17BDC"/>
    <w:rsid w:val="00D207ED"/>
    <w:rsid w:val="00D214B8"/>
    <w:rsid w:val="00D229CB"/>
    <w:rsid w:val="00D22FA5"/>
    <w:rsid w:val="00D2338A"/>
    <w:rsid w:val="00D235C3"/>
    <w:rsid w:val="00D23D42"/>
    <w:rsid w:val="00D24359"/>
    <w:rsid w:val="00D307DA"/>
    <w:rsid w:val="00D3088F"/>
    <w:rsid w:val="00D321BB"/>
    <w:rsid w:val="00D32BBF"/>
    <w:rsid w:val="00D34093"/>
    <w:rsid w:val="00D34425"/>
    <w:rsid w:val="00D36500"/>
    <w:rsid w:val="00D372E2"/>
    <w:rsid w:val="00D37D94"/>
    <w:rsid w:val="00D403C1"/>
    <w:rsid w:val="00D40BCB"/>
    <w:rsid w:val="00D40F8F"/>
    <w:rsid w:val="00D420DC"/>
    <w:rsid w:val="00D4487C"/>
    <w:rsid w:val="00D44F26"/>
    <w:rsid w:val="00D46886"/>
    <w:rsid w:val="00D46CB8"/>
    <w:rsid w:val="00D47509"/>
    <w:rsid w:val="00D478B2"/>
    <w:rsid w:val="00D51E32"/>
    <w:rsid w:val="00D51FDC"/>
    <w:rsid w:val="00D5433D"/>
    <w:rsid w:val="00D55CBD"/>
    <w:rsid w:val="00D57D0E"/>
    <w:rsid w:val="00D60A68"/>
    <w:rsid w:val="00D61418"/>
    <w:rsid w:val="00D6168D"/>
    <w:rsid w:val="00D61AC6"/>
    <w:rsid w:val="00D62012"/>
    <w:rsid w:val="00D63BCE"/>
    <w:rsid w:val="00D6412D"/>
    <w:rsid w:val="00D64190"/>
    <w:rsid w:val="00D65981"/>
    <w:rsid w:val="00D6635D"/>
    <w:rsid w:val="00D6738B"/>
    <w:rsid w:val="00D70723"/>
    <w:rsid w:val="00D710C1"/>
    <w:rsid w:val="00D711E1"/>
    <w:rsid w:val="00D71A98"/>
    <w:rsid w:val="00D722BA"/>
    <w:rsid w:val="00D73558"/>
    <w:rsid w:val="00D73BD4"/>
    <w:rsid w:val="00D73C38"/>
    <w:rsid w:val="00D74990"/>
    <w:rsid w:val="00D75085"/>
    <w:rsid w:val="00D752C0"/>
    <w:rsid w:val="00D7712C"/>
    <w:rsid w:val="00D771F9"/>
    <w:rsid w:val="00D775E2"/>
    <w:rsid w:val="00D802C4"/>
    <w:rsid w:val="00D81C73"/>
    <w:rsid w:val="00D82215"/>
    <w:rsid w:val="00D828BD"/>
    <w:rsid w:val="00D8619B"/>
    <w:rsid w:val="00D8651C"/>
    <w:rsid w:val="00D9004A"/>
    <w:rsid w:val="00D9066D"/>
    <w:rsid w:val="00D909F4"/>
    <w:rsid w:val="00D90C5A"/>
    <w:rsid w:val="00D91682"/>
    <w:rsid w:val="00D937E7"/>
    <w:rsid w:val="00D93922"/>
    <w:rsid w:val="00D93981"/>
    <w:rsid w:val="00D9435F"/>
    <w:rsid w:val="00D94897"/>
    <w:rsid w:val="00D96040"/>
    <w:rsid w:val="00D97775"/>
    <w:rsid w:val="00D978AC"/>
    <w:rsid w:val="00DA0F84"/>
    <w:rsid w:val="00DA10AB"/>
    <w:rsid w:val="00DA150F"/>
    <w:rsid w:val="00DA41C6"/>
    <w:rsid w:val="00DA4922"/>
    <w:rsid w:val="00DA51BB"/>
    <w:rsid w:val="00DA5245"/>
    <w:rsid w:val="00DA5F20"/>
    <w:rsid w:val="00DA6997"/>
    <w:rsid w:val="00DB006D"/>
    <w:rsid w:val="00DB0095"/>
    <w:rsid w:val="00DB02AD"/>
    <w:rsid w:val="00DB0592"/>
    <w:rsid w:val="00DB076F"/>
    <w:rsid w:val="00DB11B6"/>
    <w:rsid w:val="00DB1FEA"/>
    <w:rsid w:val="00DB2BBE"/>
    <w:rsid w:val="00DB35D9"/>
    <w:rsid w:val="00DB6A91"/>
    <w:rsid w:val="00DB727D"/>
    <w:rsid w:val="00DB7CBA"/>
    <w:rsid w:val="00DB7F50"/>
    <w:rsid w:val="00DB7F9D"/>
    <w:rsid w:val="00DC0952"/>
    <w:rsid w:val="00DC128F"/>
    <w:rsid w:val="00DC2C9B"/>
    <w:rsid w:val="00DC308F"/>
    <w:rsid w:val="00DC4704"/>
    <w:rsid w:val="00DC517C"/>
    <w:rsid w:val="00DC5463"/>
    <w:rsid w:val="00DD1A8D"/>
    <w:rsid w:val="00DD21BA"/>
    <w:rsid w:val="00DD25AC"/>
    <w:rsid w:val="00DD26A7"/>
    <w:rsid w:val="00DD2861"/>
    <w:rsid w:val="00DD2A58"/>
    <w:rsid w:val="00DD2CEB"/>
    <w:rsid w:val="00DD302F"/>
    <w:rsid w:val="00DD3884"/>
    <w:rsid w:val="00DD3947"/>
    <w:rsid w:val="00DD3FF6"/>
    <w:rsid w:val="00DD4A5E"/>
    <w:rsid w:val="00DD4AD3"/>
    <w:rsid w:val="00DD558D"/>
    <w:rsid w:val="00DD63B5"/>
    <w:rsid w:val="00DD65EF"/>
    <w:rsid w:val="00DD706B"/>
    <w:rsid w:val="00DD7755"/>
    <w:rsid w:val="00DD78C0"/>
    <w:rsid w:val="00DE0F95"/>
    <w:rsid w:val="00DE180C"/>
    <w:rsid w:val="00DE195F"/>
    <w:rsid w:val="00DE1985"/>
    <w:rsid w:val="00DE1AB0"/>
    <w:rsid w:val="00DE2AB8"/>
    <w:rsid w:val="00DE4115"/>
    <w:rsid w:val="00DE42F9"/>
    <w:rsid w:val="00DE4480"/>
    <w:rsid w:val="00DE5426"/>
    <w:rsid w:val="00DE66D7"/>
    <w:rsid w:val="00DE7481"/>
    <w:rsid w:val="00DF0D11"/>
    <w:rsid w:val="00DF1310"/>
    <w:rsid w:val="00DF1416"/>
    <w:rsid w:val="00DF2155"/>
    <w:rsid w:val="00DF3EFC"/>
    <w:rsid w:val="00DF4A9F"/>
    <w:rsid w:val="00DF4E1C"/>
    <w:rsid w:val="00DF506F"/>
    <w:rsid w:val="00DF59F0"/>
    <w:rsid w:val="00DF5A31"/>
    <w:rsid w:val="00DF77A2"/>
    <w:rsid w:val="00DF7F07"/>
    <w:rsid w:val="00E00B8C"/>
    <w:rsid w:val="00E020AA"/>
    <w:rsid w:val="00E03AC2"/>
    <w:rsid w:val="00E04312"/>
    <w:rsid w:val="00E04C2E"/>
    <w:rsid w:val="00E04E17"/>
    <w:rsid w:val="00E0527C"/>
    <w:rsid w:val="00E0604D"/>
    <w:rsid w:val="00E07534"/>
    <w:rsid w:val="00E075DC"/>
    <w:rsid w:val="00E07E37"/>
    <w:rsid w:val="00E10B35"/>
    <w:rsid w:val="00E1302F"/>
    <w:rsid w:val="00E1345E"/>
    <w:rsid w:val="00E13D43"/>
    <w:rsid w:val="00E152EE"/>
    <w:rsid w:val="00E15781"/>
    <w:rsid w:val="00E1614A"/>
    <w:rsid w:val="00E16D4A"/>
    <w:rsid w:val="00E16EFB"/>
    <w:rsid w:val="00E17D7B"/>
    <w:rsid w:val="00E17E24"/>
    <w:rsid w:val="00E22002"/>
    <w:rsid w:val="00E22146"/>
    <w:rsid w:val="00E22F5F"/>
    <w:rsid w:val="00E2447A"/>
    <w:rsid w:val="00E2485A"/>
    <w:rsid w:val="00E2591E"/>
    <w:rsid w:val="00E25E95"/>
    <w:rsid w:val="00E26042"/>
    <w:rsid w:val="00E26316"/>
    <w:rsid w:val="00E268AA"/>
    <w:rsid w:val="00E27409"/>
    <w:rsid w:val="00E27A97"/>
    <w:rsid w:val="00E31672"/>
    <w:rsid w:val="00E3270E"/>
    <w:rsid w:val="00E33466"/>
    <w:rsid w:val="00E33875"/>
    <w:rsid w:val="00E33C8C"/>
    <w:rsid w:val="00E33EEC"/>
    <w:rsid w:val="00E345BC"/>
    <w:rsid w:val="00E404DB"/>
    <w:rsid w:val="00E404E1"/>
    <w:rsid w:val="00E406CA"/>
    <w:rsid w:val="00E40BE6"/>
    <w:rsid w:val="00E4201D"/>
    <w:rsid w:val="00E42298"/>
    <w:rsid w:val="00E42897"/>
    <w:rsid w:val="00E4361B"/>
    <w:rsid w:val="00E43DDF"/>
    <w:rsid w:val="00E4427B"/>
    <w:rsid w:val="00E44737"/>
    <w:rsid w:val="00E45523"/>
    <w:rsid w:val="00E458DA"/>
    <w:rsid w:val="00E51653"/>
    <w:rsid w:val="00E53029"/>
    <w:rsid w:val="00E5635C"/>
    <w:rsid w:val="00E56C6E"/>
    <w:rsid w:val="00E57011"/>
    <w:rsid w:val="00E57284"/>
    <w:rsid w:val="00E577F3"/>
    <w:rsid w:val="00E601B7"/>
    <w:rsid w:val="00E60AFC"/>
    <w:rsid w:val="00E61585"/>
    <w:rsid w:val="00E6164B"/>
    <w:rsid w:val="00E6228C"/>
    <w:rsid w:val="00E62D59"/>
    <w:rsid w:val="00E62FE5"/>
    <w:rsid w:val="00E66693"/>
    <w:rsid w:val="00E66ADA"/>
    <w:rsid w:val="00E67761"/>
    <w:rsid w:val="00E67BD4"/>
    <w:rsid w:val="00E67D33"/>
    <w:rsid w:val="00E70879"/>
    <w:rsid w:val="00E7173E"/>
    <w:rsid w:val="00E71AF2"/>
    <w:rsid w:val="00E72968"/>
    <w:rsid w:val="00E737BF"/>
    <w:rsid w:val="00E738A5"/>
    <w:rsid w:val="00E75245"/>
    <w:rsid w:val="00E7530E"/>
    <w:rsid w:val="00E7587C"/>
    <w:rsid w:val="00E764F8"/>
    <w:rsid w:val="00E76F43"/>
    <w:rsid w:val="00E77203"/>
    <w:rsid w:val="00E81E3F"/>
    <w:rsid w:val="00E83FDC"/>
    <w:rsid w:val="00E8445D"/>
    <w:rsid w:val="00E84665"/>
    <w:rsid w:val="00E846BA"/>
    <w:rsid w:val="00E858F8"/>
    <w:rsid w:val="00E85E71"/>
    <w:rsid w:val="00E8630F"/>
    <w:rsid w:val="00E86F2D"/>
    <w:rsid w:val="00E90190"/>
    <w:rsid w:val="00E90B37"/>
    <w:rsid w:val="00E91D4D"/>
    <w:rsid w:val="00E922FD"/>
    <w:rsid w:val="00E9380D"/>
    <w:rsid w:val="00E95274"/>
    <w:rsid w:val="00E96548"/>
    <w:rsid w:val="00E979C9"/>
    <w:rsid w:val="00EA1510"/>
    <w:rsid w:val="00EA16FC"/>
    <w:rsid w:val="00EA25A1"/>
    <w:rsid w:val="00EA277F"/>
    <w:rsid w:val="00EA29A0"/>
    <w:rsid w:val="00EA335E"/>
    <w:rsid w:val="00EA4365"/>
    <w:rsid w:val="00EA484A"/>
    <w:rsid w:val="00EA4B47"/>
    <w:rsid w:val="00EA596B"/>
    <w:rsid w:val="00EA622C"/>
    <w:rsid w:val="00EA6620"/>
    <w:rsid w:val="00EA6B9A"/>
    <w:rsid w:val="00EB033B"/>
    <w:rsid w:val="00EB0AFA"/>
    <w:rsid w:val="00EB539F"/>
    <w:rsid w:val="00EB5799"/>
    <w:rsid w:val="00EB5976"/>
    <w:rsid w:val="00EB5DFC"/>
    <w:rsid w:val="00EC0072"/>
    <w:rsid w:val="00EC1476"/>
    <w:rsid w:val="00EC1E6C"/>
    <w:rsid w:val="00EC22BE"/>
    <w:rsid w:val="00EC488A"/>
    <w:rsid w:val="00EC7259"/>
    <w:rsid w:val="00EC73E0"/>
    <w:rsid w:val="00EC7827"/>
    <w:rsid w:val="00ED069C"/>
    <w:rsid w:val="00ED1BBE"/>
    <w:rsid w:val="00ED1C45"/>
    <w:rsid w:val="00ED250B"/>
    <w:rsid w:val="00ED3B76"/>
    <w:rsid w:val="00ED41AF"/>
    <w:rsid w:val="00ED563D"/>
    <w:rsid w:val="00ED5A23"/>
    <w:rsid w:val="00ED6914"/>
    <w:rsid w:val="00ED6EE6"/>
    <w:rsid w:val="00EE020D"/>
    <w:rsid w:val="00EE039D"/>
    <w:rsid w:val="00EE1781"/>
    <w:rsid w:val="00EE1C96"/>
    <w:rsid w:val="00EE21FE"/>
    <w:rsid w:val="00EE3433"/>
    <w:rsid w:val="00EE35B9"/>
    <w:rsid w:val="00EE4D00"/>
    <w:rsid w:val="00EE550A"/>
    <w:rsid w:val="00EE576C"/>
    <w:rsid w:val="00EE590D"/>
    <w:rsid w:val="00EE6610"/>
    <w:rsid w:val="00EE6D7B"/>
    <w:rsid w:val="00EE7103"/>
    <w:rsid w:val="00EE7751"/>
    <w:rsid w:val="00EE7A89"/>
    <w:rsid w:val="00EE7FCF"/>
    <w:rsid w:val="00EF13AE"/>
    <w:rsid w:val="00EF2417"/>
    <w:rsid w:val="00EF2908"/>
    <w:rsid w:val="00EF45C0"/>
    <w:rsid w:val="00EF4C97"/>
    <w:rsid w:val="00EF4DFF"/>
    <w:rsid w:val="00EF5594"/>
    <w:rsid w:val="00EF6B32"/>
    <w:rsid w:val="00F00A8C"/>
    <w:rsid w:val="00F00BA7"/>
    <w:rsid w:val="00F00C83"/>
    <w:rsid w:val="00F019A6"/>
    <w:rsid w:val="00F02472"/>
    <w:rsid w:val="00F02D70"/>
    <w:rsid w:val="00F04F29"/>
    <w:rsid w:val="00F04F9F"/>
    <w:rsid w:val="00F05294"/>
    <w:rsid w:val="00F06299"/>
    <w:rsid w:val="00F069A2"/>
    <w:rsid w:val="00F11724"/>
    <w:rsid w:val="00F11793"/>
    <w:rsid w:val="00F124EA"/>
    <w:rsid w:val="00F12526"/>
    <w:rsid w:val="00F125F4"/>
    <w:rsid w:val="00F12DA4"/>
    <w:rsid w:val="00F13DE1"/>
    <w:rsid w:val="00F145BB"/>
    <w:rsid w:val="00F14614"/>
    <w:rsid w:val="00F149DC"/>
    <w:rsid w:val="00F15EA3"/>
    <w:rsid w:val="00F16460"/>
    <w:rsid w:val="00F16CB9"/>
    <w:rsid w:val="00F17560"/>
    <w:rsid w:val="00F1768F"/>
    <w:rsid w:val="00F178ED"/>
    <w:rsid w:val="00F204B6"/>
    <w:rsid w:val="00F206C2"/>
    <w:rsid w:val="00F206D1"/>
    <w:rsid w:val="00F214FE"/>
    <w:rsid w:val="00F21C84"/>
    <w:rsid w:val="00F23746"/>
    <w:rsid w:val="00F251C3"/>
    <w:rsid w:val="00F25348"/>
    <w:rsid w:val="00F25C52"/>
    <w:rsid w:val="00F2674C"/>
    <w:rsid w:val="00F27A9E"/>
    <w:rsid w:val="00F3088A"/>
    <w:rsid w:val="00F30C6C"/>
    <w:rsid w:val="00F314CC"/>
    <w:rsid w:val="00F31606"/>
    <w:rsid w:val="00F3416F"/>
    <w:rsid w:val="00F34ACE"/>
    <w:rsid w:val="00F352DE"/>
    <w:rsid w:val="00F37261"/>
    <w:rsid w:val="00F379ED"/>
    <w:rsid w:val="00F40E4E"/>
    <w:rsid w:val="00F415F0"/>
    <w:rsid w:val="00F4391A"/>
    <w:rsid w:val="00F45669"/>
    <w:rsid w:val="00F46DB9"/>
    <w:rsid w:val="00F46EE9"/>
    <w:rsid w:val="00F47110"/>
    <w:rsid w:val="00F477DE"/>
    <w:rsid w:val="00F50569"/>
    <w:rsid w:val="00F510B0"/>
    <w:rsid w:val="00F510FD"/>
    <w:rsid w:val="00F51875"/>
    <w:rsid w:val="00F51DDF"/>
    <w:rsid w:val="00F5362D"/>
    <w:rsid w:val="00F53BF0"/>
    <w:rsid w:val="00F53E04"/>
    <w:rsid w:val="00F559EE"/>
    <w:rsid w:val="00F560B8"/>
    <w:rsid w:val="00F56267"/>
    <w:rsid w:val="00F602B7"/>
    <w:rsid w:val="00F607E2"/>
    <w:rsid w:val="00F61ADD"/>
    <w:rsid w:val="00F6286F"/>
    <w:rsid w:val="00F6331A"/>
    <w:rsid w:val="00F64342"/>
    <w:rsid w:val="00F649D2"/>
    <w:rsid w:val="00F64EA7"/>
    <w:rsid w:val="00F667F2"/>
    <w:rsid w:val="00F67749"/>
    <w:rsid w:val="00F67A93"/>
    <w:rsid w:val="00F711D4"/>
    <w:rsid w:val="00F71C45"/>
    <w:rsid w:val="00F72026"/>
    <w:rsid w:val="00F729D1"/>
    <w:rsid w:val="00F7354C"/>
    <w:rsid w:val="00F7396A"/>
    <w:rsid w:val="00F73EE0"/>
    <w:rsid w:val="00F75105"/>
    <w:rsid w:val="00F768E0"/>
    <w:rsid w:val="00F770F1"/>
    <w:rsid w:val="00F801FC"/>
    <w:rsid w:val="00F81540"/>
    <w:rsid w:val="00F81567"/>
    <w:rsid w:val="00F821F9"/>
    <w:rsid w:val="00F847F4"/>
    <w:rsid w:val="00F870C6"/>
    <w:rsid w:val="00F87D2E"/>
    <w:rsid w:val="00F90549"/>
    <w:rsid w:val="00F90588"/>
    <w:rsid w:val="00F907BD"/>
    <w:rsid w:val="00F909E9"/>
    <w:rsid w:val="00F91576"/>
    <w:rsid w:val="00F915E0"/>
    <w:rsid w:val="00F920E9"/>
    <w:rsid w:val="00F94226"/>
    <w:rsid w:val="00F9441D"/>
    <w:rsid w:val="00F94F04"/>
    <w:rsid w:val="00F95300"/>
    <w:rsid w:val="00F95595"/>
    <w:rsid w:val="00F95F2F"/>
    <w:rsid w:val="00F9732C"/>
    <w:rsid w:val="00F97D1F"/>
    <w:rsid w:val="00FA0CD8"/>
    <w:rsid w:val="00FA13BD"/>
    <w:rsid w:val="00FA1CB8"/>
    <w:rsid w:val="00FA21C0"/>
    <w:rsid w:val="00FA460C"/>
    <w:rsid w:val="00FA4E2C"/>
    <w:rsid w:val="00FA5147"/>
    <w:rsid w:val="00FA6768"/>
    <w:rsid w:val="00FA6B38"/>
    <w:rsid w:val="00FA6E40"/>
    <w:rsid w:val="00FA7870"/>
    <w:rsid w:val="00FB0264"/>
    <w:rsid w:val="00FB0FD1"/>
    <w:rsid w:val="00FB1AA2"/>
    <w:rsid w:val="00FB2FB2"/>
    <w:rsid w:val="00FB3843"/>
    <w:rsid w:val="00FB3B3D"/>
    <w:rsid w:val="00FB3C41"/>
    <w:rsid w:val="00FB46A2"/>
    <w:rsid w:val="00FB4DE7"/>
    <w:rsid w:val="00FB51D2"/>
    <w:rsid w:val="00FB56C1"/>
    <w:rsid w:val="00FB650F"/>
    <w:rsid w:val="00FB6CBA"/>
    <w:rsid w:val="00FB6D05"/>
    <w:rsid w:val="00FB7187"/>
    <w:rsid w:val="00FB7306"/>
    <w:rsid w:val="00FB7B71"/>
    <w:rsid w:val="00FC0FCE"/>
    <w:rsid w:val="00FC1915"/>
    <w:rsid w:val="00FC2861"/>
    <w:rsid w:val="00FC3346"/>
    <w:rsid w:val="00FC37C4"/>
    <w:rsid w:val="00FC3D35"/>
    <w:rsid w:val="00FC6142"/>
    <w:rsid w:val="00FC6638"/>
    <w:rsid w:val="00FC6804"/>
    <w:rsid w:val="00FC68D3"/>
    <w:rsid w:val="00FC7DEB"/>
    <w:rsid w:val="00FC7E4B"/>
    <w:rsid w:val="00FD02D7"/>
    <w:rsid w:val="00FD20C4"/>
    <w:rsid w:val="00FD2272"/>
    <w:rsid w:val="00FD2F1B"/>
    <w:rsid w:val="00FD381C"/>
    <w:rsid w:val="00FD3D9E"/>
    <w:rsid w:val="00FD4C9A"/>
    <w:rsid w:val="00FD5F9D"/>
    <w:rsid w:val="00FD7088"/>
    <w:rsid w:val="00FD776D"/>
    <w:rsid w:val="00FE0DF5"/>
    <w:rsid w:val="00FE2C02"/>
    <w:rsid w:val="00FE2FC6"/>
    <w:rsid w:val="00FE3995"/>
    <w:rsid w:val="00FE3E6F"/>
    <w:rsid w:val="00FE5877"/>
    <w:rsid w:val="00FE6B5D"/>
    <w:rsid w:val="00FE72A7"/>
    <w:rsid w:val="00FE7329"/>
    <w:rsid w:val="00FE78D9"/>
    <w:rsid w:val="00FE7E0B"/>
    <w:rsid w:val="00FF01CF"/>
    <w:rsid w:val="00FF0473"/>
    <w:rsid w:val="00FF09DA"/>
    <w:rsid w:val="00FF1391"/>
    <w:rsid w:val="00FF13FC"/>
    <w:rsid w:val="00FF229A"/>
    <w:rsid w:val="00FF2686"/>
    <w:rsid w:val="00FF26D9"/>
    <w:rsid w:val="00FF27AF"/>
    <w:rsid w:val="00FF4F7F"/>
    <w:rsid w:val="00FF548D"/>
    <w:rsid w:val="00FF56C5"/>
    <w:rsid w:val="00FF58AE"/>
    <w:rsid w:val="00FF59A4"/>
    <w:rsid w:val="00FF5B1C"/>
    <w:rsid w:val="00FF5BC6"/>
    <w:rsid w:val="00FF70C7"/>
    <w:rsid w:val="00FF7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15:docId w15:val="{5ABF45C1-8985-4EC6-8CCA-D615A40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66"/>
    <w:pPr>
      <w:jc w:val="both"/>
    </w:pPr>
    <w:rPr>
      <w:rFonts w:ascii="Helvetica" w:hAnsi="Helvetica"/>
      <w:sz w:val="24"/>
      <w:szCs w:val="24"/>
    </w:rPr>
  </w:style>
  <w:style w:type="paragraph" w:styleId="Heading1">
    <w:name w:val="heading 1"/>
    <w:basedOn w:val="Normal"/>
    <w:next w:val="Normal"/>
    <w:qFormat/>
    <w:rsid w:val="00827666"/>
    <w:pPr>
      <w:keepNext/>
      <w:keepLines/>
      <w:spacing w:after="240"/>
      <w:jc w:val="left"/>
      <w:outlineLvl w:val="0"/>
    </w:pPr>
    <w:rPr>
      <w:b/>
      <w:kern w:val="24"/>
    </w:rPr>
  </w:style>
  <w:style w:type="paragraph" w:styleId="Heading2">
    <w:name w:val="heading 2"/>
    <w:basedOn w:val="Normal"/>
    <w:next w:val="Normal"/>
    <w:qFormat/>
    <w:rsid w:val="00827666"/>
    <w:pPr>
      <w:keepNext/>
      <w:suppressAutoHyphens/>
      <w:spacing w:before="240" w:after="60"/>
      <w:outlineLvl w:val="1"/>
    </w:pPr>
    <w:rPr>
      <w:rFonts w:ascii="Arial" w:hAnsi="Arial"/>
      <w:b/>
      <w:i/>
    </w:rPr>
  </w:style>
  <w:style w:type="paragraph" w:styleId="Heading3">
    <w:name w:val="heading 3"/>
    <w:basedOn w:val="Normal"/>
    <w:next w:val="Normal"/>
    <w:qFormat/>
    <w:rsid w:val="00827666"/>
    <w:pPr>
      <w:keepNext/>
      <w:suppressAutoHyphens/>
      <w:spacing w:after="240"/>
      <w:outlineLvl w:val="2"/>
    </w:pPr>
    <w:rPr>
      <w:b/>
      <w:sz w:val="26"/>
    </w:rPr>
  </w:style>
  <w:style w:type="paragraph" w:styleId="Heading4">
    <w:name w:val="heading 4"/>
    <w:basedOn w:val="Normal"/>
    <w:next w:val="Normal"/>
    <w:qFormat/>
    <w:rsid w:val="00827666"/>
    <w:pPr>
      <w:keepNext/>
      <w:suppressAutoHyphens/>
      <w:spacing w:after="240"/>
      <w:outlineLvl w:val="3"/>
    </w:pPr>
    <w:rPr>
      <w:rFonts w:ascii="Courier" w:hAnsi="Courier"/>
    </w:rPr>
  </w:style>
  <w:style w:type="paragraph" w:styleId="Heading5">
    <w:name w:val="heading 5"/>
    <w:basedOn w:val="Normal"/>
    <w:next w:val="Normal"/>
    <w:qFormat/>
    <w:rsid w:val="00827666"/>
    <w:pPr>
      <w:suppressAutoHyphens/>
      <w:spacing w:before="240" w:after="60"/>
      <w:outlineLvl w:val="4"/>
    </w:pPr>
    <w:rPr>
      <w:rFonts w:ascii="Arial" w:hAnsi="Arial"/>
      <w:sz w:val="22"/>
    </w:rPr>
  </w:style>
  <w:style w:type="paragraph" w:styleId="Heading6">
    <w:name w:val="heading 6"/>
    <w:basedOn w:val="Normal"/>
    <w:next w:val="Normal"/>
    <w:qFormat/>
    <w:rsid w:val="00827666"/>
    <w:pPr>
      <w:suppressAutoHyphens/>
      <w:spacing w:before="240" w:after="60"/>
      <w:outlineLvl w:val="5"/>
    </w:pPr>
    <w:rPr>
      <w:rFonts w:ascii="Arial" w:hAnsi="Arial"/>
      <w:i/>
      <w:sz w:val="22"/>
    </w:rPr>
  </w:style>
  <w:style w:type="paragraph" w:styleId="Heading7">
    <w:name w:val="heading 7"/>
    <w:basedOn w:val="Normal"/>
    <w:next w:val="Normal"/>
    <w:qFormat/>
    <w:rsid w:val="00827666"/>
    <w:pPr>
      <w:suppressAutoHyphens/>
      <w:spacing w:before="240" w:after="60"/>
      <w:outlineLvl w:val="6"/>
    </w:pPr>
    <w:rPr>
      <w:rFonts w:ascii="Arial" w:hAnsi="Arial"/>
      <w:sz w:val="20"/>
    </w:rPr>
  </w:style>
  <w:style w:type="paragraph" w:styleId="Heading8">
    <w:name w:val="heading 8"/>
    <w:basedOn w:val="Normal"/>
    <w:next w:val="Normal"/>
    <w:qFormat/>
    <w:rsid w:val="00827666"/>
    <w:pPr>
      <w:suppressAutoHyphens/>
      <w:spacing w:before="240" w:after="60"/>
      <w:outlineLvl w:val="7"/>
    </w:pPr>
    <w:rPr>
      <w:rFonts w:ascii="Arial" w:hAnsi="Arial"/>
      <w:i/>
      <w:sz w:val="20"/>
    </w:rPr>
  </w:style>
  <w:style w:type="paragraph" w:styleId="Heading9">
    <w:name w:val="heading 9"/>
    <w:basedOn w:val="Normal"/>
    <w:next w:val="Normal"/>
    <w:qFormat/>
    <w:rsid w:val="00827666"/>
    <w:pPr>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ing">
    <w:name w:val="Subdivision Heading"/>
    <w:basedOn w:val="DivisionHeading"/>
    <w:next w:val="SectionHeading"/>
    <w:rsid w:val="00827666"/>
    <w:pPr>
      <w:outlineLvl w:val="3"/>
    </w:pPr>
  </w:style>
  <w:style w:type="paragraph" w:styleId="TOC1">
    <w:name w:val="toc 1"/>
    <w:basedOn w:val="ChapterHeading"/>
    <w:rsid w:val="00827666"/>
    <w:pPr>
      <w:tabs>
        <w:tab w:val="right" w:leader="dot" w:pos="8313"/>
      </w:tabs>
      <w:spacing w:after="0"/>
      <w:ind w:right="567"/>
      <w:outlineLvl w:val="9"/>
    </w:pPr>
    <w:rPr>
      <w:noProof/>
      <w:szCs w:val="28"/>
    </w:rPr>
  </w:style>
  <w:style w:type="numbering" w:customStyle="1" w:styleId="OPCNumbering">
    <w:name w:val="OPC Numbering"/>
    <w:rsid w:val="00827666"/>
    <w:pPr>
      <w:numPr>
        <w:numId w:val="1"/>
      </w:numPr>
    </w:pPr>
  </w:style>
  <w:style w:type="paragraph" w:styleId="TOC3">
    <w:name w:val="toc 3"/>
    <w:basedOn w:val="TOC2"/>
    <w:rsid w:val="00827666"/>
    <w:pPr>
      <w:tabs>
        <w:tab w:val="right" w:pos="8313"/>
      </w:tabs>
    </w:pPr>
    <w:rPr>
      <w:sz w:val="26"/>
    </w:rPr>
  </w:style>
  <w:style w:type="paragraph" w:styleId="TOC2">
    <w:name w:val="toc 2"/>
    <w:basedOn w:val="TOC1"/>
    <w:uiPriority w:val="39"/>
    <w:rsid w:val="00827666"/>
  </w:style>
  <w:style w:type="paragraph" w:styleId="DocumentMap">
    <w:name w:val="Document Map"/>
    <w:basedOn w:val="Normal"/>
    <w:rsid w:val="00827666"/>
    <w:pPr>
      <w:shd w:val="clear" w:color="auto" w:fill="000080"/>
    </w:pPr>
    <w:rPr>
      <w:rFonts w:ascii="Tahoma" w:hAnsi="Tahoma" w:cs="Tahoma"/>
    </w:rPr>
  </w:style>
  <w:style w:type="paragraph" w:styleId="TOC4">
    <w:name w:val="toc 4"/>
    <w:basedOn w:val="TOC3"/>
    <w:rsid w:val="00827666"/>
  </w:style>
  <w:style w:type="paragraph" w:customStyle="1" w:styleId="NewSectionHeading">
    <w:name w:val="New Section Heading"/>
    <w:basedOn w:val="OPCStyleBaseline"/>
    <w:next w:val="Sectiontext"/>
    <w:rsid w:val="00827666"/>
    <w:pPr>
      <w:keepNext/>
      <w:keepLines/>
      <w:spacing w:after="240"/>
      <w:ind w:left="1100" w:hanging="1100"/>
      <w:jc w:val="left"/>
      <w:outlineLvl w:val="8"/>
    </w:pPr>
    <w:rPr>
      <w:b/>
    </w:rPr>
  </w:style>
  <w:style w:type="paragraph" w:styleId="TOC5">
    <w:name w:val="toc 5"/>
    <w:basedOn w:val="TOC4"/>
    <w:uiPriority w:val="39"/>
    <w:rsid w:val="00827666"/>
    <w:pPr>
      <w:keepNext w:val="0"/>
      <w:ind w:left="1100" w:hanging="1100"/>
      <w:contextualSpacing/>
    </w:pPr>
    <w:rPr>
      <w:b w:val="0"/>
      <w:sz w:val="24"/>
      <w:szCs w:val="24"/>
    </w:rPr>
  </w:style>
  <w:style w:type="paragraph" w:styleId="TOC6">
    <w:name w:val="toc 6"/>
    <w:basedOn w:val="TOC1"/>
    <w:uiPriority w:val="39"/>
    <w:rsid w:val="00827666"/>
    <w:pPr>
      <w:tabs>
        <w:tab w:val="right" w:pos="8313"/>
      </w:tabs>
    </w:pPr>
  </w:style>
  <w:style w:type="paragraph" w:styleId="TOC7">
    <w:name w:val="toc 7"/>
    <w:basedOn w:val="TOC5"/>
    <w:next w:val="Normal"/>
    <w:uiPriority w:val="39"/>
    <w:rsid w:val="00827666"/>
    <w:pPr>
      <w:spacing w:before="60" w:after="60"/>
      <w:ind w:left="3119" w:hanging="2019"/>
    </w:pPr>
    <w:rPr>
      <w:sz w:val="22"/>
    </w:rPr>
  </w:style>
  <w:style w:type="paragraph" w:styleId="TOC8">
    <w:name w:val="toc 8"/>
    <w:basedOn w:val="Normal"/>
    <w:next w:val="Normal"/>
    <w:uiPriority w:val="39"/>
    <w:rsid w:val="00827666"/>
    <w:pPr>
      <w:tabs>
        <w:tab w:val="right" w:pos="8313"/>
      </w:tabs>
      <w:spacing w:before="60" w:after="60"/>
      <w:ind w:left="3119" w:hanging="2019"/>
      <w:jc w:val="left"/>
    </w:pPr>
    <w:rPr>
      <w:sz w:val="22"/>
    </w:rPr>
  </w:style>
  <w:style w:type="paragraph" w:styleId="TOC9">
    <w:name w:val="toc 9"/>
    <w:basedOn w:val="TOC7"/>
    <w:next w:val="Normal"/>
    <w:uiPriority w:val="39"/>
    <w:rsid w:val="00827666"/>
    <w:pPr>
      <w:ind w:left="1985" w:hanging="885"/>
    </w:pPr>
    <w:rPr>
      <w:sz w:val="20"/>
    </w:rPr>
  </w:style>
  <w:style w:type="paragraph" w:styleId="Footer">
    <w:name w:val="footer"/>
    <w:basedOn w:val="OPCStyleBaseline"/>
    <w:rsid w:val="00827666"/>
    <w:pPr>
      <w:tabs>
        <w:tab w:val="right" w:pos="8306"/>
      </w:tabs>
    </w:pPr>
    <w:rPr>
      <w:sz w:val="20"/>
    </w:rPr>
  </w:style>
  <w:style w:type="paragraph" w:styleId="Header">
    <w:name w:val="header"/>
    <w:basedOn w:val="OPCStyleBaseline"/>
    <w:rsid w:val="00827666"/>
    <w:pPr>
      <w:tabs>
        <w:tab w:val="left" w:pos="1418"/>
      </w:tabs>
      <w:ind w:left="1418" w:hanging="1418"/>
    </w:pPr>
    <w:rPr>
      <w:sz w:val="20"/>
    </w:rPr>
  </w:style>
  <w:style w:type="paragraph" w:customStyle="1" w:styleId="OmitSub1">
    <w:name w:val="OmitSub(1)"/>
    <w:basedOn w:val="OPCStyleBaseline"/>
    <w:next w:val="OmitSub2"/>
    <w:rsid w:val="00827666"/>
    <w:pPr>
      <w:tabs>
        <w:tab w:val="left" w:pos="567"/>
        <w:tab w:val="left" w:pos="1134"/>
        <w:tab w:val="left" w:pos="1701"/>
      </w:tabs>
      <w:spacing w:before="120" w:after="120"/>
      <w:jc w:val="left"/>
    </w:pPr>
  </w:style>
  <w:style w:type="paragraph" w:customStyle="1" w:styleId="Paragraph">
    <w:name w:val="Paragraph"/>
    <w:basedOn w:val="Sectiontext"/>
    <w:rsid w:val="00827666"/>
    <w:pPr>
      <w:ind w:left="1667" w:hanging="567"/>
    </w:pPr>
  </w:style>
  <w:style w:type="paragraph" w:customStyle="1" w:styleId="Example">
    <w:name w:val="Example"/>
    <w:basedOn w:val="Sectiontext"/>
    <w:rsid w:val="00827666"/>
    <w:pPr>
      <w:spacing w:after="120"/>
    </w:pPr>
    <w:rPr>
      <w:i/>
      <w:sz w:val="20"/>
    </w:rPr>
  </w:style>
  <w:style w:type="paragraph" w:customStyle="1" w:styleId="notebox">
    <w:name w:val="notebox"/>
    <w:basedOn w:val="OPCStyleBaseline"/>
    <w:rsid w:val="00827666"/>
    <w:pPr>
      <w:pBdr>
        <w:top w:val="single" w:sz="4" w:space="1" w:color="auto" w:shadow="1"/>
        <w:left w:val="single" w:sz="4" w:space="4" w:color="auto" w:shadow="1"/>
        <w:bottom w:val="single" w:sz="4" w:space="1" w:color="auto" w:shadow="1"/>
        <w:right w:val="single" w:sz="4" w:space="4" w:color="auto" w:shadow="1"/>
      </w:pBdr>
      <w:spacing w:after="240"/>
    </w:pPr>
  </w:style>
  <w:style w:type="paragraph" w:customStyle="1" w:styleId="DivisionHeading">
    <w:name w:val="Division Heading"/>
    <w:basedOn w:val="PartHeading"/>
    <w:next w:val="SubdivisionHeading"/>
    <w:rsid w:val="00827666"/>
    <w:pPr>
      <w:spacing w:before="100" w:beforeAutospacing="1"/>
      <w:outlineLvl w:val="2"/>
    </w:pPr>
    <w:rPr>
      <w:sz w:val="26"/>
    </w:rPr>
  </w:style>
  <w:style w:type="paragraph" w:customStyle="1" w:styleId="tabletitle">
    <w:name w:val="tabletitle"/>
    <w:basedOn w:val="Normal"/>
    <w:rsid w:val="00827666"/>
    <w:pPr>
      <w:spacing w:after="720" w:line="240" w:lineRule="exact"/>
      <w:jc w:val="center"/>
    </w:pPr>
    <w:rPr>
      <w:caps/>
    </w:rPr>
  </w:style>
  <w:style w:type="paragraph" w:customStyle="1" w:styleId="StyleMarginBoldLeft0cmHanging194cmAfter12pt">
    <w:name w:val="Style Margin + Bold Left:  0 cm Hanging:  1.94 cm After:  12 pt"/>
    <w:basedOn w:val="Margin"/>
    <w:rsid w:val="00827666"/>
    <w:pPr>
      <w:keepNext/>
      <w:spacing w:after="240"/>
      <w:ind w:left="1100" w:hanging="1100"/>
    </w:pPr>
    <w:rPr>
      <w:b/>
      <w:bCs/>
      <w:szCs w:val="20"/>
    </w:rPr>
  </w:style>
  <w:style w:type="paragraph" w:customStyle="1" w:styleId="Sectiontext">
    <w:name w:val="Section text"/>
    <w:basedOn w:val="OPCStyleBaseline"/>
    <w:link w:val="SectiontextChar"/>
    <w:rsid w:val="00827666"/>
    <w:pPr>
      <w:spacing w:after="240"/>
      <w:ind w:left="1100"/>
    </w:pPr>
  </w:style>
  <w:style w:type="paragraph" w:customStyle="1" w:styleId="NewPartHeading">
    <w:name w:val="New Part Heading"/>
    <w:basedOn w:val="PartHeading"/>
    <w:next w:val="NewDivisionHeading"/>
    <w:rsid w:val="00827666"/>
    <w:pPr>
      <w:outlineLvl w:val="6"/>
    </w:pPr>
    <w:rPr>
      <w:szCs w:val="28"/>
    </w:rPr>
  </w:style>
  <w:style w:type="paragraph" w:customStyle="1" w:styleId="NewChapterHeading">
    <w:name w:val="New Chapter Heading"/>
    <w:basedOn w:val="ChapterHeading"/>
    <w:next w:val="NewPartHeading"/>
    <w:rsid w:val="00827666"/>
    <w:pPr>
      <w:outlineLvl w:val="6"/>
    </w:pPr>
  </w:style>
  <w:style w:type="paragraph" w:customStyle="1" w:styleId="Penaltyold">
    <w:name w:val="Penalty old"/>
    <w:basedOn w:val="OPCStyleBaseline"/>
    <w:rsid w:val="00827666"/>
    <w:pPr>
      <w:ind w:left="2160" w:hanging="1440"/>
      <w:jc w:val="left"/>
    </w:pPr>
  </w:style>
  <w:style w:type="paragraph" w:customStyle="1" w:styleId="OmitSubref">
    <w:name w:val="OmitSub(ref)"/>
    <w:basedOn w:val="OPCStyleBaseline"/>
    <w:next w:val="OmitSubsubref"/>
    <w:rsid w:val="00827666"/>
    <w:pPr>
      <w:spacing w:before="120" w:after="120"/>
      <w:jc w:val="left"/>
    </w:pPr>
  </w:style>
  <w:style w:type="paragraph" w:customStyle="1" w:styleId="AmendingSection">
    <w:name w:val="Amending Section"/>
    <w:basedOn w:val="Sectiontext"/>
    <w:rsid w:val="00827666"/>
    <w:pPr>
      <w:ind w:hanging="1100"/>
    </w:pPr>
  </w:style>
  <w:style w:type="paragraph" w:customStyle="1" w:styleId="OmitSub2">
    <w:name w:val="OmitSub(2)"/>
    <w:basedOn w:val="OmitSub1"/>
    <w:rsid w:val="00827666"/>
    <w:pPr>
      <w:spacing w:before="0"/>
    </w:pPr>
  </w:style>
  <w:style w:type="paragraph" w:customStyle="1" w:styleId="ScheduleHeading">
    <w:name w:val="Schedule Heading"/>
    <w:basedOn w:val="ChapterHeading"/>
    <w:next w:val="SectionHeading"/>
    <w:rsid w:val="00827666"/>
    <w:pPr>
      <w:pageBreakBefore/>
      <w:outlineLvl w:val="5"/>
    </w:pPr>
    <w:rPr>
      <w:szCs w:val="28"/>
    </w:rPr>
  </w:style>
  <w:style w:type="paragraph" w:customStyle="1" w:styleId="OmitSubsubref">
    <w:name w:val="OmitSub(subref)"/>
    <w:basedOn w:val="OmitSubref"/>
    <w:rsid w:val="00827666"/>
    <w:pPr>
      <w:tabs>
        <w:tab w:val="left" w:pos="284"/>
      </w:tabs>
      <w:spacing w:before="0"/>
      <w:ind w:left="284" w:hanging="284"/>
    </w:pPr>
  </w:style>
  <w:style w:type="paragraph" w:customStyle="1" w:styleId="Subsection">
    <w:name w:val="Subsection"/>
    <w:basedOn w:val="Sectiontext"/>
    <w:rsid w:val="00827666"/>
    <w:pPr>
      <w:tabs>
        <w:tab w:val="right" w:pos="902"/>
      </w:tabs>
      <w:ind w:hanging="1100"/>
    </w:pPr>
  </w:style>
  <w:style w:type="paragraph" w:customStyle="1" w:styleId="PartHeading">
    <w:name w:val="Part Heading"/>
    <w:basedOn w:val="ChapterHeading"/>
    <w:next w:val="DivisionHeading"/>
    <w:rsid w:val="00827666"/>
    <w:pPr>
      <w:outlineLvl w:val="1"/>
    </w:pPr>
  </w:style>
  <w:style w:type="character" w:customStyle="1" w:styleId="SectiontextChar">
    <w:name w:val="Section text Char"/>
    <w:link w:val="Sectiontext"/>
    <w:rsid w:val="00827666"/>
    <w:rPr>
      <w:rFonts w:ascii="Helvetica" w:hAnsi="Helvetica"/>
      <w:sz w:val="24"/>
      <w:szCs w:val="24"/>
    </w:rPr>
  </w:style>
  <w:style w:type="paragraph" w:customStyle="1" w:styleId="Subpara">
    <w:name w:val="Subpara"/>
    <w:basedOn w:val="Paragraph"/>
    <w:rsid w:val="00827666"/>
    <w:pPr>
      <w:ind w:left="2268"/>
    </w:pPr>
  </w:style>
  <w:style w:type="paragraph" w:customStyle="1" w:styleId="Subsubpara">
    <w:name w:val="Subsubpara"/>
    <w:basedOn w:val="Subpara"/>
    <w:rsid w:val="00827666"/>
    <w:pPr>
      <w:ind w:left="2835"/>
    </w:pPr>
  </w:style>
  <w:style w:type="paragraph" w:customStyle="1" w:styleId="Penalty">
    <w:name w:val="Penalty"/>
    <w:basedOn w:val="Sectiontext"/>
    <w:next w:val="SectionHeading"/>
    <w:rsid w:val="00827666"/>
    <w:pPr>
      <w:ind w:left="3600" w:hanging="2500"/>
      <w:jc w:val="left"/>
    </w:pPr>
  </w:style>
  <w:style w:type="paragraph" w:customStyle="1" w:styleId="SectionHeading">
    <w:name w:val="Section Heading"/>
    <w:basedOn w:val="OPCStyleBaseline"/>
    <w:next w:val="Sectiontext"/>
    <w:rsid w:val="00827666"/>
    <w:pPr>
      <w:keepNext/>
      <w:keepLines/>
      <w:numPr>
        <w:numId w:val="1"/>
      </w:numPr>
      <w:tabs>
        <w:tab w:val="clear" w:pos="0"/>
        <w:tab w:val="left" w:pos="1100"/>
      </w:tabs>
      <w:spacing w:after="240"/>
      <w:ind w:left="1100" w:hanging="1100"/>
      <w:jc w:val="left"/>
      <w:outlineLvl w:val="4"/>
    </w:pPr>
    <w:rPr>
      <w:b/>
    </w:rPr>
  </w:style>
  <w:style w:type="paragraph" w:customStyle="1" w:styleId="ChapterHeading">
    <w:name w:val="Chapter Heading"/>
    <w:basedOn w:val="OPCStyleBaseline"/>
    <w:next w:val="PartHeading"/>
    <w:rsid w:val="00827666"/>
    <w:pPr>
      <w:keepNext/>
      <w:keepLines/>
      <w:spacing w:before="240" w:after="240"/>
      <w:ind w:left="1985" w:hanging="1985"/>
      <w:jc w:val="left"/>
      <w:outlineLvl w:val="0"/>
    </w:pPr>
    <w:rPr>
      <w:b/>
      <w:sz w:val="28"/>
    </w:rPr>
  </w:style>
  <w:style w:type="paragraph" w:styleId="BalloonText">
    <w:name w:val="Balloon Text"/>
    <w:basedOn w:val="Normal"/>
    <w:link w:val="BalloonTextChar"/>
    <w:rsid w:val="00827666"/>
    <w:rPr>
      <w:rFonts w:ascii="Tahoma" w:hAnsi="Tahoma" w:cs="Tahoma"/>
      <w:sz w:val="16"/>
      <w:szCs w:val="16"/>
    </w:rPr>
  </w:style>
  <w:style w:type="paragraph" w:customStyle="1" w:styleId="Definition">
    <w:name w:val="Definition"/>
    <w:basedOn w:val="OPCStyleBaseline"/>
    <w:rsid w:val="00827666"/>
    <w:pPr>
      <w:spacing w:after="240"/>
      <w:ind w:left="1100"/>
    </w:pPr>
    <w:rPr>
      <w:szCs w:val="20"/>
    </w:rPr>
  </w:style>
  <w:style w:type="paragraph" w:customStyle="1" w:styleId="BlankHeader">
    <w:name w:val="BlankHeader"/>
    <w:next w:val="SectionHeading"/>
    <w:rsid w:val="00827666"/>
    <w:pPr>
      <w:widowControl w:val="0"/>
    </w:pPr>
    <w:rPr>
      <w:rFonts w:ascii="Helvetica" w:hAnsi="Helvetica"/>
      <w:vanish/>
      <w:sz w:val="24"/>
      <w:szCs w:val="24"/>
    </w:rPr>
  </w:style>
  <w:style w:type="character" w:customStyle="1" w:styleId="charChapterText">
    <w:name w:val="charChapterText"/>
    <w:rsid w:val="00827666"/>
  </w:style>
  <w:style w:type="character" w:customStyle="1" w:styleId="charDivisionText">
    <w:name w:val="charDivisionText"/>
    <w:rsid w:val="00827666"/>
  </w:style>
  <w:style w:type="character" w:customStyle="1" w:styleId="charPartText">
    <w:name w:val="charPartText"/>
    <w:rsid w:val="00827666"/>
  </w:style>
  <w:style w:type="character" w:customStyle="1" w:styleId="charScheduleText">
    <w:name w:val="charScheduleText"/>
    <w:rsid w:val="00827666"/>
  </w:style>
  <w:style w:type="character" w:customStyle="1" w:styleId="charSubdivisionText">
    <w:name w:val="charSubdivisionText"/>
    <w:rsid w:val="00827666"/>
  </w:style>
  <w:style w:type="character" w:customStyle="1" w:styleId="BalloonTextChar">
    <w:name w:val="Balloon Text Char"/>
    <w:link w:val="BalloonText"/>
    <w:rsid w:val="00827666"/>
    <w:rPr>
      <w:rFonts w:ascii="Tahoma" w:hAnsi="Tahoma" w:cs="Tahoma"/>
      <w:sz w:val="16"/>
      <w:szCs w:val="16"/>
    </w:rPr>
  </w:style>
  <w:style w:type="character" w:customStyle="1" w:styleId="charhighlight">
    <w:name w:val="charhighlight"/>
    <w:rsid w:val="00E5635C"/>
  </w:style>
  <w:style w:type="paragraph" w:customStyle="1" w:styleId="NewDivisionHeading">
    <w:name w:val="New Division Heading"/>
    <w:basedOn w:val="DivisionHeading"/>
    <w:next w:val="Normal"/>
    <w:rsid w:val="00827666"/>
    <w:pPr>
      <w:tabs>
        <w:tab w:val="left" w:pos="2127"/>
      </w:tabs>
      <w:outlineLvl w:val="7"/>
    </w:pPr>
  </w:style>
  <w:style w:type="character" w:styleId="CommentReference">
    <w:name w:val="annotation reference"/>
    <w:rsid w:val="005C0A9C"/>
    <w:rPr>
      <w:sz w:val="16"/>
      <w:szCs w:val="16"/>
    </w:rPr>
  </w:style>
  <w:style w:type="paragraph" w:styleId="CommentText">
    <w:name w:val="annotation text"/>
    <w:basedOn w:val="Normal"/>
    <w:link w:val="CommentTextChar"/>
    <w:rsid w:val="005C0A9C"/>
    <w:rPr>
      <w:sz w:val="20"/>
      <w:szCs w:val="20"/>
    </w:rPr>
  </w:style>
  <w:style w:type="character" w:customStyle="1" w:styleId="CommentTextChar">
    <w:name w:val="Comment Text Char"/>
    <w:link w:val="CommentText"/>
    <w:rsid w:val="005C0A9C"/>
    <w:rPr>
      <w:rFonts w:ascii="Helvetica" w:hAnsi="Helvetica"/>
    </w:rPr>
  </w:style>
  <w:style w:type="paragraph" w:styleId="CommentSubject">
    <w:name w:val="annotation subject"/>
    <w:basedOn w:val="CommentText"/>
    <w:next w:val="CommentText"/>
    <w:link w:val="CommentSubjectChar"/>
    <w:rsid w:val="005C0A9C"/>
    <w:rPr>
      <w:b/>
      <w:bCs/>
    </w:rPr>
  </w:style>
  <w:style w:type="character" w:customStyle="1" w:styleId="CommentSubjectChar">
    <w:name w:val="Comment Subject Char"/>
    <w:link w:val="CommentSubject"/>
    <w:rsid w:val="005C0A9C"/>
    <w:rPr>
      <w:rFonts w:ascii="Helvetica" w:hAnsi="Helvetica"/>
      <w:b/>
      <w:bCs/>
    </w:rPr>
  </w:style>
  <w:style w:type="paragraph" w:styleId="NoteHeading">
    <w:name w:val="Note Heading"/>
    <w:basedOn w:val="Normal"/>
    <w:next w:val="Normal"/>
    <w:link w:val="NoteHeadingChar"/>
    <w:rsid w:val="001F17F4"/>
  </w:style>
  <w:style w:type="character" w:customStyle="1" w:styleId="NoteHeadingChar">
    <w:name w:val="Note Heading Char"/>
    <w:link w:val="NoteHeading"/>
    <w:rsid w:val="001F17F4"/>
    <w:rPr>
      <w:rFonts w:ascii="Helvetica" w:hAnsi="Helvetica"/>
      <w:sz w:val="24"/>
      <w:szCs w:val="24"/>
    </w:rPr>
  </w:style>
  <w:style w:type="paragraph" w:styleId="ListBullet">
    <w:name w:val="List Bullet"/>
    <w:basedOn w:val="Normal"/>
    <w:rsid w:val="001D519A"/>
    <w:pPr>
      <w:tabs>
        <w:tab w:val="num" w:pos="360"/>
      </w:tabs>
      <w:ind w:left="360" w:hanging="360"/>
      <w:contextualSpacing/>
    </w:pPr>
  </w:style>
  <w:style w:type="paragraph" w:customStyle="1" w:styleId="NewSubdivisionHeading">
    <w:name w:val="New Subdivision Heading"/>
    <w:basedOn w:val="SubdivisionHeading"/>
    <w:rsid w:val="00827666"/>
    <w:pPr>
      <w:outlineLvl w:val="7"/>
    </w:pPr>
  </w:style>
  <w:style w:type="paragraph" w:customStyle="1" w:styleId="ShortTitle">
    <w:name w:val="ShortTitle"/>
    <w:basedOn w:val="OPCStyleBaseline"/>
    <w:rsid w:val="00827666"/>
    <w:pPr>
      <w:spacing w:before="240" w:after="240"/>
      <w:jc w:val="center"/>
    </w:pPr>
    <w:rPr>
      <w:b/>
      <w:caps/>
    </w:rPr>
  </w:style>
  <w:style w:type="paragraph" w:customStyle="1" w:styleId="ActNo">
    <w:name w:val="ActNo"/>
    <w:basedOn w:val="OPCStyleBaseline"/>
    <w:rsid w:val="00827666"/>
    <w:pPr>
      <w:spacing w:before="60"/>
      <w:jc w:val="center"/>
    </w:pPr>
    <w:rPr>
      <w:b/>
    </w:rPr>
  </w:style>
  <w:style w:type="paragraph" w:customStyle="1" w:styleId="LongTitle">
    <w:name w:val="LongTitle"/>
    <w:basedOn w:val="OPCStyleBaseline"/>
    <w:rsid w:val="00827666"/>
    <w:pPr>
      <w:spacing w:before="240" w:after="480"/>
      <w:jc w:val="center"/>
    </w:pPr>
  </w:style>
  <w:style w:type="paragraph" w:customStyle="1" w:styleId="EndNotes">
    <w:name w:val="EndNotes"/>
    <w:basedOn w:val="OPCStyleBaseline"/>
    <w:rsid w:val="00827666"/>
    <w:pPr>
      <w:spacing w:after="240"/>
      <w:jc w:val="center"/>
      <w:outlineLvl w:val="3"/>
    </w:pPr>
    <w:rPr>
      <w:b/>
      <w:caps/>
    </w:rPr>
  </w:style>
  <w:style w:type="paragraph" w:customStyle="1" w:styleId="Margin">
    <w:name w:val="Margin"/>
    <w:basedOn w:val="OPCStyleBaseline"/>
    <w:rsid w:val="00827666"/>
    <w:pPr>
      <w:jc w:val="left"/>
    </w:pPr>
  </w:style>
  <w:style w:type="paragraph" w:customStyle="1" w:styleId="OPCStyleBaseline">
    <w:name w:val="OPC Style Baseline"/>
    <w:rsid w:val="00827666"/>
    <w:pPr>
      <w:widowControl w:val="0"/>
      <w:jc w:val="both"/>
    </w:pPr>
    <w:rPr>
      <w:rFonts w:ascii="Helvetica" w:hAnsi="Helvetica"/>
      <w:sz w:val="24"/>
      <w:szCs w:val="24"/>
    </w:rPr>
  </w:style>
  <w:style w:type="paragraph" w:customStyle="1" w:styleId="TOPHeading">
    <w:name w:val="TOP Heading"/>
    <w:basedOn w:val="OPCStyleBaseline"/>
    <w:rsid w:val="00827666"/>
    <w:pPr>
      <w:spacing w:after="240"/>
      <w:jc w:val="center"/>
    </w:pPr>
    <w:rPr>
      <w:b/>
      <w:sz w:val="28"/>
      <w:szCs w:val="28"/>
    </w:rPr>
  </w:style>
  <w:style w:type="character" w:customStyle="1" w:styleId="charEndNoteText">
    <w:name w:val="charEndNoteText"/>
    <w:rsid w:val="0082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750">
      <w:bodyDiv w:val="1"/>
      <w:marLeft w:val="0"/>
      <w:marRight w:val="0"/>
      <w:marTop w:val="0"/>
      <w:marBottom w:val="0"/>
      <w:divBdr>
        <w:top w:val="none" w:sz="0" w:space="0" w:color="auto"/>
        <w:left w:val="none" w:sz="0" w:space="0" w:color="auto"/>
        <w:bottom w:val="none" w:sz="0" w:space="0" w:color="auto"/>
        <w:right w:val="none" w:sz="0" w:space="0" w:color="auto"/>
      </w:divBdr>
      <w:divsChild>
        <w:div w:id="308825328">
          <w:marLeft w:val="0"/>
          <w:marRight w:val="0"/>
          <w:marTop w:val="0"/>
          <w:marBottom w:val="0"/>
          <w:divBdr>
            <w:top w:val="none" w:sz="0" w:space="0" w:color="auto"/>
            <w:left w:val="none" w:sz="0" w:space="0" w:color="auto"/>
            <w:bottom w:val="none" w:sz="0" w:space="0" w:color="auto"/>
            <w:right w:val="none" w:sz="0" w:space="0" w:color="auto"/>
          </w:divBdr>
        </w:div>
        <w:div w:id="636687105">
          <w:marLeft w:val="0"/>
          <w:marRight w:val="0"/>
          <w:marTop w:val="0"/>
          <w:marBottom w:val="0"/>
          <w:divBdr>
            <w:top w:val="none" w:sz="0" w:space="0" w:color="auto"/>
            <w:left w:val="none" w:sz="0" w:space="0" w:color="auto"/>
            <w:bottom w:val="none" w:sz="0" w:space="0" w:color="auto"/>
            <w:right w:val="none" w:sz="0" w:space="0" w:color="auto"/>
          </w:divBdr>
        </w:div>
      </w:divsChild>
    </w:div>
    <w:div w:id="630474115">
      <w:bodyDiv w:val="1"/>
      <w:marLeft w:val="0"/>
      <w:marRight w:val="0"/>
      <w:marTop w:val="0"/>
      <w:marBottom w:val="0"/>
      <w:divBdr>
        <w:top w:val="none" w:sz="0" w:space="0" w:color="auto"/>
        <w:left w:val="none" w:sz="0" w:space="0" w:color="auto"/>
        <w:bottom w:val="none" w:sz="0" w:space="0" w:color="auto"/>
        <w:right w:val="none" w:sz="0" w:space="0" w:color="auto"/>
      </w:divBdr>
      <w:divsChild>
        <w:div w:id="604774985">
          <w:marLeft w:val="0"/>
          <w:marRight w:val="0"/>
          <w:marTop w:val="0"/>
          <w:marBottom w:val="0"/>
          <w:divBdr>
            <w:top w:val="none" w:sz="0" w:space="0" w:color="auto"/>
            <w:left w:val="none" w:sz="0" w:space="0" w:color="auto"/>
            <w:bottom w:val="none" w:sz="0" w:space="0" w:color="auto"/>
            <w:right w:val="none" w:sz="0" w:space="0" w:color="auto"/>
          </w:divBdr>
        </w:div>
        <w:div w:id="1739480505">
          <w:marLeft w:val="0"/>
          <w:marRight w:val="0"/>
          <w:marTop w:val="0"/>
          <w:marBottom w:val="0"/>
          <w:divBdr>
            <w:top w:val="none" w:sz="0" w:space="0" w:color="auto"/>
            <w:left w:val="none" w:sz="0" w:space="0" w:color="auto"/>
            <w:bottom w:val="none" w:sz="0" w:space="0" w:color="auto"/>
            <w:right w:val="none" w:sz="0" w:space="0" w:color="auto"/>
          </w:divBdr>
        </w:div>
        <w:div w:id="1838497220">
          <w:marLeft w:val="0"/>
          <w:marRight w:val="0"/>
          <w:marTop w:val="0"/>
          <w:marBottom w:val="0"/>
          <w:divBdr>
            <w:top w:val="none" w:sz="0" w:space="0" w:color="auto"/>
            <w:left w:val="none" w:sz="0" w:space="0" w:color="auto"/>
            <w:bottom w:val="none" w:sz="0" w:space="0" w:color="auto"/>
            <w:right w:val="none" w:sz="0" w:space="0" w:color="auto"/>
          </w:divBdr>
        </w:div>
      </w:divsChild>
    </w:div>
    <w:div w:id="672728303">
      <w:bodyDiv w:val="1"/>
      <w:marLeft w:val="0"/>
      <w:marRight w:val="0"/>
      <w:marTop w:val="0"/>
      <w:marBottom w:val="0"/>
      <w:divBdr>
        <w:top w:val="none" w:sz="0" w:space="0" w:color="auto"/>
        <w:left w:val="none" w:sz="0" w:space="0" w:color="auto"/>
        <w:bottom w:val="none" w:sz="0" w:space="0" w:color="auto"/>
        <w:right w:val="none" w:sz="0" w:space="0" w:color="auto"/>
      </w:divBdr>
    </w:div>
    <w:div w:id="695811355">
      <w:bodyDiv w:val="1"/>
      <w:marLeft w:val="0"/>
      <w:marRight w:val="0"/>
      <w:marTop w:val="0"/>
      <w:marBottom w:val="0"/>
      <w:divBdr>
        <w:top w:val="none" w:sz="0" w:space="0" w:color="auto"/>
        <w:left w:val="none" w:sz="0" w:space="0" w:color="auto"/>
        <w:bottom w:val="none" w:sz="0" w:space="0" w:color="auto"/>
        <w:right w:val="none" w:sz="0" w:space="0" w:color="auto"/>
      </w:divBdr>
      <w:divsChild>
        <w:div w:id="1419718864">
          <w:marLeft w:val="0"/>
          <w:marRight w:val="0"/>
          <w:marTop w:val="0"/>
          <w:marBottom w:val="0"/>
          <w:divBdr>
            <w:top w:val="none" w:sz="0" w:space="0" w:color="auto"/>
            <w:left w:val="none" w:sz="0" w:space="0" w:color="auto"/>
            <w:bottom w:val="none" w:sz="0" w:space="0" w:color="auto"/>
            <w:right w:val="none" w:sz="0" w:space="0" w:color="auto"/>
          </w:divBdr>
        </w:div>
        <w:div w:id="2019194550">
          <w:marLeft w:val="0"/>
          <w:marRight w:val="0"/>
          <w:marTop w:val="0"/>
          <w:marBottom w:val="0"/>
          <w:divBdr>
            <w:top w:val="none" w:sz="0" w:space="0" w:color="auto"/>
            <w:left w:val="none" w:sz="0" w:space="0" w:color="auto"/>
            <w:bottom w:val="none" w:sz="0" w:space="0" w:color="auto"/>
            <w:right w:val="none" w:sz="0" w:space="0" w:color="auto"/>
          </w:divBdr>
        </w:div>
      </w:divsChild>
    </w:div>
    <w:div w:id="696930999">
      <w:bodyDiv w:val="1"/>
      <w:marLeft w:val="0"/>
      <w:marRight w:val="0"/>
      <w:marTop w:val="0"/>
      <w:marBottom w:val="0"/>
      <w:divBdr>
        <w:top w:val="none" w:sz="0" w:space="0" w:color="auto"/>
        <w:left w:val="none" w:sz="0" w:space="0" w:color="auto"/>
        <w:bottom w:val="none" w:sz="0" w:space="0" w:color="auto"/>
        <w:right w:val="none" w:sz="0" w:space="0" w:color="auto"/>
      </w:divBdr>
      <w:divsChild>
        <w:div w:id="244924345">
          <w:marLeft w:val="0"/>
          <w:marRight w:val="0"/>
          <w:marTop w:val="0"/>
          <w:marBottom w:val="0"/>
          <w:divBdr>
            <w:top w:val="none" w:sz="0" w:space="0" w:color="auto"/>
            <w:left w:val="none" w:sz="0" w:space="0" w:color="auto"/>
            <w:bottom w:val="none" w:sz="0" w:space="0" w:color="auto"/>
            <w:right w:val="none" w:sz="0" w:space="0" w:color="auto"/>
          </w:divBdr>
        </w:div>
        <w:div w:id="1092050865">
          <w:marLeft w:val="0"/>
          <w:marRight w:val="0"/>
          <w:marTop w:val="0"/>
          <w:marBottom w:val="0"/>
          <w:divBdr>
            <w:top w:val="none" w:sz="0" w:space="0" w:color="auto"/>
            <w:left w:val="none" w:sz="0" w:space="0" w:color="auto"/>
            <w:bottom w:val="none" w:sz="0" w:space="0" w:color="auto"/>
            <w:right w:val="none" w:sz="0" w:space="0" w:color="auto"/>
          </w:divBdr>
        </w:div>
      </w:divsChild>
    </w:div>
    <w:div w:id="818763741">
      <w:bodyDiv w:val="1"/>
      <w:marLeft w:val="0"/>
      <w:marRight w:val="0"/>
      <w:marTop w:val="0"/>
      <w:marBottom w:val="0"/>
      <w:divBdr>
        <w:top w:val="none" w:sz="0" w:space="0" w:color="auto"/>
        <w:left w:val="none" w:sz="0" w:space="0" w:color="auto"/>
        <w:bottom w:val="none" w:sz="0" w:space="0" w:color="auto"/>
        <w:right w:val="none" w:sz="0" w:space="0" w:color="auto"/>
      </w:divBdr>
      <w:divsChild>
        <w:div w:id="1103378365">
          <w:marLeft w:val="0"/>
          <w:marRight w:val="0"/>
          <w:marTop w:val="0"/>
          <w:marBottom w:val="0"/>
          <w:divBdr>
            <w:top w:val="none" w:sz="0" w:space="0" w:color="auto"/>
            <w:left w:val="none" w:sz="0" w:space="0" w:color="auto"/>
            <w:bottom w:val="none" w:sz="0" w:space="0" w:color="auto"/>
            <w:right w:val="none" w:sz="0" w:space="0" w:color="auto"/>
          </w:divBdr>
        </w:div>
        <w:div w:id="1988240344">
          <w:marLeft w:val="0"/>
          <w:marRight w:val="0"/>
          <w:marTop w:val="0"/>
          <w:marBottom w:val="0"/>
          <w:divBdr>
            <w:top w:val="none" w:sz="0" w:space="0" w:color="auto"/>
            <w:left w:val="none" w:sz="0" w:space="0" w:color="auto"/>
            <w:bottom w:val="none" w:sz="0" w:space="0" w:color="auto"/>
            <w:right w:val="none" w:sz="0" w:space="0" w:color="auto"/>
          </w:divBdr>
        </w:div>
      </w:divsChild>
    </w:div>
    <w:div w:id="902981265">
      <w:bodyDiv w:val="1"/>
      <w:marLeft w:val="0"/>
      <w:marRight w:val="0"/>
      <w:marTop w:val="0"/>
      <w:marBottom w:val="0"/>
      <w:divBdr>
        <w:top w:val="none" w:sz="0" w:space="0" w:color="auto"/>
        <w:left w:val="none" w:sz="0" w:space="0" w:color="auto"/>
        <w:bottom w:val="none" w:sz="0" w:space="0" w:color="auto"/>
        <w:right w:val="none" w:sz="0" w:space="0" w:color="auto"/>
      </w:divBdr>
      <w:divsChild>
        <w:div w:id="1130704435">
          <w:marLeft w:val="0"/>
          <w:marRight w:val="0"/>
          <w:marTop w:val="0"/>
          <w:marBottom w:val="0"/>
          <w:divBdr>
            <w:top w:val="none" w:sz="0" w:space="0" w:color="auto"/>
            <w:left w:val="none" w:sz="0" w:space="0" w:color="auto"/>
            <w:bottom w:val="none" w:sz="0" w:space="0" w:color="auto"/>
            <w:right w:val="none" w:sz="0" w:space="0" w:color="auto"/>
          </w:divBdr>
        </w:div>
        <w:div w:id="2094886778">
          <w:marLeft w:val="0"/>
          <w:marRight w:val="0"/>
          <w:marTop w:val="0"/>
          <w:marBottom w:val="0"/>
          <w:divBdr>
            <w:top w:val="none" w:sz="0" w:space="0" w:color="auto"/>
            <w:left w:val="none" w:sz="0" w:space="0" w:color="auto"/>
            <w:bottom w:val="none" w:sz="0" w:space="0" w:color="auto"/>
            <w:right w:val="none" w:sz="0" w:space="0" w:color="auto"/>
          </w:divBdr>
        </w:div>
      </w:divsChild>
    </w:div>
    <w:div w:id="938952274">
      <w:bodyDiv w:val="1"/>
      <w:marLeft w:val="0"/>
      <w:marRight w:val="0"/>
      <w:marTop w:val="0"/>
      <w:marBottom w:val="0"/>
      <w:divBdr>
        <w:top w:val="none" w:sz="0" w:space="0" w:color="auto"/>
        <w:left w:val="none" w:sz="0" w:space="0" w:color="auto"/>
        <w:bottom w:val="none" w:sz="0" w:space="0" w:color="auto"/>
        <w:right w:val="none" w:sz="0" w:space="0" w:color="auto"/>
      </w:divBdr>
    </w:div>
    <w:div w:id="1091973821">
      <w:bodyDiv w:val="1"/>
      <w:marLeft w:val="0"/>
      <w:marRight w:val="0"/>
      <w:marTop w:val="0"/>
      <w:marBottom w:val="0"/>
      <w:divBdr>
        <w:top w:val="none" w:sz="0" w:space="0" w:color="auto"/>
        <w:left w:val="none" w:sz="0" w:space="0" w:color="auto"/>
        <w:bottom w:val="none" w:sz="0" w:space="0" w:color="auto"/>
        <w:right w:val="none" w:sz="0" w:space="0" w:color="auto"/>
      </w:divBdr>
      <w:divsChild>
        <w:div w:id="888228439">
          <w:marLeft w:val="0"/>
          <w:marRight w:val="0"/>
          <w:marTop w:val="0"/>
          <w:marBottom w:val="0"/>
          <w:divBdr>
            <w:top w:val="none" w:sz="0" w:space="0" w:color="auto"/>
            <w:left w:val="none" w:sz="0" w:space="0" w:color="auto"/>
            <w:bottom w:val="none" w:sz="0" w:space="0" w:color="auto"/>
            <w:right w:val="none" w:sz="0" w:space="0" w:color="auto"/>
          </w:divBdr>
        </w:div>
        <w:div w:id="2105028229">
          <w:marLeft w:val="0"/>
          <w:marRight w:val="0"/>
          <w:marTop w:val="0"/>
          <w:marBottom w:val="0"/>
          <w:divBdr>
            <w:top w:val="none" w:sz="0" w:space="0" w:color="auto"/>
            <w:left w:val="none" w:sz="0" w:space="0" w:color="auto"/>
            <w:bottom w:val="none" w:sz="0" w:space="0" w:color="auto"/>
            <w:right w:val="none" w:sz="0" w:space="0" w:color="auto"/>
          </w:divBdr>
        </w:div>
      </w:divsChild>
    </w:div>
    <w:div w:id="1316107004">
      <w:bodyDiv w:val="1"/>
      <w:marLeft w:val="0"/>
      <w:marRight w:val="0"/>
      <w:marTop w:val="0"/>
      <w:marBottom w:val="0"/>
      <w:divBdr>
        <w:top w:val="none" w:sz="0" w:space="0" w:color="auto"/>
        <w:left w:val="none" w:sz="0" w:space="0" w:color="auto"/>
        <w:bottom w:val="none" w:sz="0" w:space="0" w:color="auto"/>
        <w:right w:val="none" w:sz="0" w:space="0" w:color="auto"/>
      </w:divBdr>
      <w:divsChild>
        <w:div w:id="712928348">
          <w:marLeft w:val="0"/>
          <w:marRight w:val="0"/>
          <w:marTop w:val="0"/>
          <w:marBottom w:val="0"/>
          <w:divBdr>
            <w:top w:val="none" w:sz="0" w:space="0" w:color="auto"/>
            <w:left w:val="none" w:sz="0" w:space="0" w:color="auto"/>
            <w:bottom w:val="none" w:sz="0" w:space="0" w:color="auto"/>
            <w:right w:val="none" w:sz="0" w:space="0" w:color="auto"/>
          </w:divBdr>
        </w:div>
        <w:div w:id="571745232">
          <w:marLeft w:val="0"/>
          <w:marRight w:val="0"/>
          <w:marTop w:val="0"/>
          <w:marBottom w:val="0"/>
          <w:divBdr>
            <w:top w:val="none" w:sz="0" w:space="0" w:color="auto"/>
            <w:left w:val="none" w:sz="0" w:space="0" w:color="auto"/>
            <w:bottom w:val="none" w:sz="0" w:space="0" w:color="auto"/>
            <w:right w:val="none" w:sz="0" w:space="0" w:color="auto"/>
          </w:divBdr>
        </w:div>
        <w:div w:id="2005819669">
          <w:marLeft w:val="0"/>
          <w:marRight w:val="0"/>
          <w:marTop w:val="0"/>
          <w:marBottom w:val="0"/>
          <w:divBdr>
            <w:top w:val="none" w:sz="0" w:space="0" w:color="auto"/>
            <w:left w:val="none" w:sz="0" w:space="0" w:color="auto"/>
            <w:bottom w:val="none" w:sz="0" w:space="0" w:color="auto"/>
            <w:right w:val="none" w:sz="0" w:space="0" w:color="auto"/>
          </w:divBdr>
        </w:div>
        <w:div w:id="264925366">
          <w:marLeft w:val="0"/>
          <w:marRight w:val="0"/>
          <w:marTop w:val="0"/>
          <w:marBottom w:val="0"/>
          <w:divBdr>
            <w:top w:val="none" w:sz="0" w:space="0" w:color="auto"/>
            <w:left w:val="none" w:sz="0" w:space="0" w:color="auto"/>
            <w:bottom w:val="none" w:sz="0" w:space="0" w:color="auto"/>
            <w:right w:val="none" w:sz="0" w:space="0" w:color="auto"/>
          </w:divBdr>
        </w:div>
        <w:div w:id="340393986">
          <w:marLeft w:val="0"/>
          <w:marRight w:val="0"/>
          <w:marTop w:val="0"/>
          <w:marBottom w:val="0"/>
          <w:divBdr>
            <w:top w:val="none" w:sz="0" w:space="0" w:color="auto"/>
            <w:left w:val="none" w:sz="0" w:space="0" w:color="auto"/>
            <w:bottom w:val="none" w:sz="0" w:space="0" w:color="auto"/>
            <w:right w:val="none" w:sz="0" w:space="0" w:color="auto"/>
          </w:divBdr>
        </w:div>
      </w:divsChild>
    </w:div>
    <w:div w:id="1626079445">
      <w:bodyDiv w:val="1"/>
      <w:marLeft w:val="0"/>
      <w:marRight w:val="0"/>
      <w:marTop w:val="0"/>
      <w:marBottom w:val="0"/>
      <w:divBdr>
        <w:top w:val="none" w:sz="0" w:space="0" w:color="auto"/>
        <w:left w:val="none" w:sz="0" w:space="0" w:color="auto"/>
        <w:bottom w:val="none" w:sz="0" w:space="0" w:color="auto"/>
        <w:right w:val="none" w:sz="0" w:space="0" w:color="auto"/>
      </w:divBdr>
      <w:divsChild>
        <w:div w:id="407190051">
          <w:marLeft w:val="0"/>
          <w:marRight w:val="0"/>
          <w:marTop w:val="0"/>
          <w:marBottom w:val="0"/>
          <w:divBdr>
            <w:top w:val="none" w:sz="0" w:space="0" w:color="auto"/>
            <w:left w:val="none" w:sz="0" w:space="0" w:color="auto"/>
            <w:bottom w:val="none" w:sz="0" w:space="0" w:color="auto"/>
            <w:right w:val="none" w:sz="0" w:space="0" w:color="auto"/>
          </w:divBdr>
        </w:div>
        <w:div w:id="755398208">
          <w:marLeft w:val="0"/>
          <w:marRight w:val="0"/>
          <w:marTop w:val="0"/>
          <w:marBottom w:val="0"/>
          <w:divBdr>
            <w:top w:val="none" w:sz="0" w:space="0" w:color="auto"/>
            <w:left w:val="none" w:sz="0" w:space="0" w:color="auto"/>
            <w:bottom w:val="none" w:sz="0" w:space="0" w:color="auto"/>
            <w:right w:val="none" w:sz="0" w:space="0" w:color="auto"/>
          </w:divBdr>
        </w:div>
        <w:div w:id="788934089">
          <w:marLeft w:val="0"/>
          <w:marRight w:val="0"/>
          <w:marTop w:val="0"/>
          <w:marBottom w:val="0"/>
          <w:divBdr>
            <w:top w:val="none" w:sz="0" w:space="0" w:color="auto"/>
            <w:left w:val="none" w:sz="0" w:space="0" w:color="auto"/>
            <w:bottom w:val="none" w:sz="0" w:space="0" w:color="auto"/>
            <w:right w:val="none" w:sz="0" w:space="0" w:color="auto"/>
          </w:divBdr>
        </w:div>
      </w:divsChild>
    </w:div>
    <w:div w:id="1859076325">
      <w:bodyDiv w:val="1"/>
      <w:marLeft w:val="0"/>
      <w:marRight w:val="0"/>
      <w:marTop w:val="0"/>
      <w:marBottom w:val="0"/>
      <w:divBdr>
        <w:top w:val="none" w:sz="0" w:space="0" w:color="auto"/>
        <w:left w:val="none" w:sz="0" w:space="0" w:color="auto"/>
        <w:bottom w:val="none" w:sz="0" w:space="0" w:color="auto"/>
        <w:right w:val="none" w:sz="0" w:space="0" w:color="auto"/>
      </w:divBdr>
      <w:divsChild>
        <w:div w:id="598416545">
          <w:marLeft w:val="0"/>
          <w:marRight w:val="0"/>
          <w:marTop w:val="0"/>
          <w:marBottom w:val="0"/>
          <w:divBdr>
            <w:top w:val="none" w:sz="0" w:space="0" w:color="auto"/>
            <w:left w:val="none" w:sz="0" w:space="0" w:color="auto"/>
            <w:bottom w:val="none" w:sz="0" w:space="0" w:color="auto"/>
            <w:right w:val="none" w:sz="0" w:space="0" w:color="auto"/>
          </w:divBdr>
        </w:div>
        <w:div w:id="1283339541">
          <w:marLeft w:val="0"/>
          <w:marRight w:val="0"/>
          <w:marTop w:val="0"/>
          <w:marBottom w:val="0"/>
          <w:divBdr>
            <w:top w:val="none" w:sz="0" w:space="0" w:color="auto"/>
            <w:left w:val="none" w:sz="0" w:space="0" w:color="auto"/>
            <w:bottom w:val="none" w:sz="0" w:space="0" w:color="auto"/>
            <w:right w:val="none" w:sz="0" w:space="0" w:color="auto"/>
          </w:divBdr>
        </w:div>
      </w:divsChild>
    </w:div>
    <w:div w:id="1999730409">
      <w:bodyDiv w:val="1"/>
      <w:marLeft w:val="0"/>
      <w:marRight w:val="0"/>
      <w:marTop w:val="0"/>
      <w:marBottom w:val="0"/>
      <w:divBdr>
        <w:top w:val="none" w:sz="0" w:space="0" w:color="auto"/>
        <w:left w:val="none" w:sz="0" w:space="0" w:color="auto"/>
        <w:bottom w:val="none" w:sz="0" w:space="0" w:color="auto"/>
        <w:right w:val="none" w:sz="0" w:space="0" w:color="auto"/>
      </w:divBdr>
      <w:divsChild>
        <w:div w:id="165482291">
          <w:marLeft w:val="0"/>
          <w:marRight w:val="0"/>
          <w:marTop w:val="0"/>
          <w:marBottom w:val="0"/>
          <w:divBdr>
            <w:top w:val="none" w:sz="0" w:space="0" w:color="auto"/>
            <w:left w:val="none" w:sz="0" w:space="0" w:color="auto"/>
            <w:bottom w:val="none" w:sz="0" w:space="0" w:color="auto"/>
            <w:right w:val="none" w:sz="0" w:space="0" w:color="auto"/>
          </w:divBdr>
        </w:div>
        <w:div w:id="536164773">
          <w:marLeft w:val="0"/>
          <w:marRight w:val="0"/>
          <w:marTop w:val="0"/>
          <w:marBottom w:val="0"/>
          <w:divBdr>
            <w:top w:val="none" w:sz="0" w:space="0" w:color="auto"/>
            <w:left w:val="none" w:sz="0" w:space="0" w:color="auto"/>
            <w:bottom w:val="none" w:sz="0" w:space="0" w:color="auto"/>
            <w:right w:val="none" w:sz="0" w:space="0" w:color="auto"/>
          </w:divBdr>
        </w:div>
        <w:div w:id="677461059">
          <w:marLeft w:val="0"/>
          <w:marRight w:val="0"/>
          <w:marTop w:val="0"/>
          <w:marBottom w:val="0"/>
          <w:divBdr>
            <w:top w:val="none" w:sz="0" w:space="0" w:color="auto"/>
            <w:left w:val="none" w:sz="0" w:space="0" w:color="auto"/>
            <w:bottom w:val="none" w:sz="0" w:space="0" w:color="auto"/>
            <w:right w:val="none" w:sz="0" w:space="0" w:color="auto"/>
          </w:divBdr>
        </w:div>
        <w:div w:id="678198207">
          <w:marLeft w:val="0"/>
          <w:marRight w:val="0"/>
          <w:marTop w:val="0"/>
          <w:marBottom w:val="0"/>
          <w:divBdr>
            <w:top w:val="none" w:sz="0" w:space="0" w:color="auto"/>
            <w:left w:val="none" w:sz="0" w:space="0" w:color="auto"/>
            <w:bottom w:val="none" w:sz="0" w:space="0" w:color="auto"/>
            <w:right w:val="none" w:sz="0" w:space="0" w:color="auto"/>
          </w:divBdr>
        </w:div>
        <w:div w:id="778136493">
          <w:marLeft w:val="0"/>
          <w:marRight w:val="0"/>
          <w:marTop w:val="0"/>
          <w:marBottom w:val="0"/>
          <w:divBdr>
            <w:top w:val="none" w:sz="0" w:space="0" w:color="auto"/>
            <w:left w:val="none" w:sz="0" w:space="0" w:color="auto"/>
            <w:bottom w:val="none" w:sz="0" w:space="0" w:color="auto"/>
            <w:right w:val="none" w:sz="0" w:space="0" w:color="auto"/>
          </w:divBdr>
        </w:div>
        <w:div w:id="1832401296">
          <w:marLeft w:val="0"/>
          <w:marRight w:val="0"/>
          <w:marTop w:val="0"/>
          <w:marBottom w:val="0"/>
          <w:divBdr>
            <w:top w:val="none" w:sz="0" w:space="0" w:color="auto"/>
            <w:left w:val="none" w:sz="0" w:space="0" w:color="auto"/>
            <w:bottom w:val="none" w:sz="0" w:space="0" w:color="auto"/>
            <w:right w:val="none" w:sz="0" w:space="0" w:color="auto"/>
          </w:divBdr>
        </w:div>
        <w:div w:id="1846164451">
          <w:marLeft w:val="0"/>
          <w:marRight w:val="0"/>
          <w:marTop w:val="0"/>
          <w:marBottom w:val="0"/>
          <w:divBdr>
            <w:top w:val="none" w:sz="0" w:space="0" w:color="auto"/>
            <w:left w:val="none" w:sz="0" w:space="0" w:color="auto"/>
            <w:bottom w:val="none" w:sz="0" w:space="0" w:color="auto"/>
            <w:right w:val="none" w:sz="0" w:space="0" w:color="auto"/>
          </w:divBdr>
        </w:div>
        <w:div w:id="2003116691">
          <w:marLeft w:val="0"/>
          <w:marRight w:val="0"/>
          <w:marTop w:val="0"/>
          <w:marBottom w:val="0"/>
          <w:divBdr>
            <w:top w:val="none" w:sz="0" w:space="0" w:color="auto"/>
            <w:left w:val="none" w:sz="0" w:space="0" w:color="auto"/>
            <w:bottom w:val="none" w:sz="0" w:space="0" w:color="auto"/>
            <w:right w:val="none" w:sz="0" w:space="0" w:color="auto"/>
          </w:divBdr>
        </w:div>
        <w:div w:id="2016686915">
          <w:marLeft w:val="0"/>
          <w:marRight w:val="0"/>
          <w:marTop w:val="0"/>
          <w:marBottom w:val="0"/>
          <w:divBdr>
            <w:top w:val="none" w:sz="0" w:space="0" w:color="auto"/>
            <w:left w:val="none" w:sz="0" w:space="0" w:color="auto"/>
            <w:bottom w:val="none" w:sz="0" w:space="0" w:color="auto"/>
            <w:right w:val="none" w:sz="0" w:space="0" w:color="auto"/>
          </w:divBdr>
        </w:div>
        <w:div w:id="2036033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K:\OPC\Drafting\Templates\Word%202007\Doc%20Templates\OPC\B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A0F2-17EF-449F-B8E3-E60A8F0F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Bill.dot</Template>
  <TotalTime>1</TotalTime>
  <Pages>16</Pages>
  <Words>2967</Words>
  <Characters>15511</Characters>
  <Application>Microsoft Office Word</Application>
  <DocSecurity>0</DocSecurity>
  <Lines>419</Lines>
  <Paragraphs>302</Paragraphs>
  <ScaleCrop>false</ScaleCrop>
  <HeadingPairs>
    <vt:vector size="2" baseType="variant">
      <vt:variant>
        <vt:lpstr>Title</vt:lpstr>
      </vt:variant>
      <vt:variant>
        <vt:i4>1</vt:i4>
      </vt:variant>
    </vt:vector>
  </HeadingPairs>
  <TitlesOfParts>
    <vt:vector size="1" baseType="lpstr">
      <vt:lpstr/>
    </vt:vector>
  </TitlesOfParts>
  <Company>Executive Services</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Leslie Wiseman</cp:lastModifiedBy>
  <cp:revision>3</cp:revision>
  <cp:lastPrinted>2018-01-17T05:15:00Z</cp:lastPrinted>
  <dcterms:created xsi:type="dcterms:W3CDTF">2021-06-15T00:21:00Z</dcterms:created>
  <dcterms:modified xsi:type="dcterms:W3CDTF">2021-06-15T00:21:00Z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Title">
    <vt:lpwstr>Residential Tenancies Amendment Act 2018</vt:lpwstr>
  </property>
  <property fmtid="{D5CDD505-2E9C-101B-9397-08002B2CF9AE}" pid="3" name="BillRef">
    <vt:lpwstr> </vt:lpwstr>
  </property>
</Properties>
</file>